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59264" behindDoc="1" locked="0" layoutInCell="1" allowOverlap="1">
            <wp:simplePos x="0" y="0"/>
            <wp:positionH relativeFrom="margin">
              <wp:posOffset>-2939415</wp:posOffset>
            </wp:positionH>
            <wp:positionV relativeFrom="margin">
              <wp:posOffset>643255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308</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：唐山市路南区人民检察院</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唐山市路南区人民检察院</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依法惩治刑事犯罪，监督行政机关依法行政，促进社会和谐，维护社会稳定，服务全</w:t>
      </w:r>
      <w:r>
        <w:rPr>
          <w:rFonts w:hint="eastAsia" w:ascii="仿宋_GB2312" w:hAnsi="Calibri" w:eastAsia="仿宋_GB2312" w:cs="ArialUnicodeMS"/>
          <w:kern w:val="0"/>
          <w:sz w:val="32"/>
          <w:szCs w:val="32"/>
          <w:lang w:eastAsia="zh-CN"/>
        </w:rPr>
        <w:t>区</w:t>
      </w:r>
      <w:r>
        <w:rPr>
          <w:rFonts w:hint="eastAsia" w:ascii="仿宋_GB2312" w:hAnsi="Calibri" w:eastAsia="仿宋_GB2312" w:cs="ArialUnicodeMS"/>
          <w:kern w:val="0"/>
          <w:sz w:val="32"/>
          <w:szCs w:val="32"/>
        </w:rPr>
        <w:t>工作大局，发挥服务保障职能。积极推进执行工作，切实保障群众合法权益，维护社会公平正义。检察监督，通过行使检察权，惩罚犯罪活动，保护国家安全，保护公民、法人和其他组织的合法权益，保障国家法律的正确实施。</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唐山市路南区人民检察院</w:t>
            </w:r>
            <w:r>
              <w:rPr>
                <w:rFonts w:hint="eastAsia" w:ascii="仿宋_GB2312" w:hAnsi="Calibri" w:eastAsia="仿宋_GB2312" w:cs="ArialUnicodeMS"/>
                <w:kern w:val="0"/>
                <w:sz w:val="28"/>
                <w:szCs w:val="28"/>
              </w:rPr>
              <w:t>(本级)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我部门无二级预算单位，因此，</w:t>
      </w:r>
      <w:r>
        <w:rPr>
          <w:rFonts w:hint="eastAsia" w:ascii="仿宋_GB2312" w:hAnsi="Calibri" w:eastAsia="仿宋_GB2312" w:cs="ArialUnicodeMS"/>
          <w:kern w:val="0"/>
          <w:sz w:val="32"/>
          <w:szCs w:val="32"/>
          <w:lang w:eastAsia="zh-CN"/>
        </w:rPr>
        <w:t>唐山市路南区人民检察院</w:t>
      </w:r>
      <w:r>
        <w:rPr>
          <w:rFonts w:hint="eastAsia" w:ascii="仿宋_GB2312" w:hAnsi="Calibri" w:eastAsia="仿宋_GB2312" w:cs="ArialUnicodeMS"/>
          <w:kern w:val="0"/>
          <w:sz w:val="32"/>
          <w:szCs w:val="32"/>
        </w:rPr>
        <w:t>202</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rPr>
        <w:t>年度部门决算即</w:t>
      </w:r>
      <w:r>
        <w:rPr>
          <w:rFonts w:hint="eastAsia" w:ascii="仿宋_GB2312" w:hAnsi="Calibri" w:eastAsia="仿宋_GB2312" w:cs="ArialUnicodeMS"/>
          <w:kern w:val="0"/>
          <w:sz w:val="32"/>
          <w:szCs w:val="32"/>
          <w:lang w:eastAsia="zh-CN"/>
        </w:rPr>
        <w:t>唐山市路南区人民检察院</w:t>
      </w:r>
      <w:r>
        <w:rPr>
          <w:rFonts w:hint="eastAsia" w:ascii="仿宋_GB2312" w:hAnsi="Calibri" w:eastAsia="仿宋_GB2312" w:cs="ArialUnicodeMS"/>
          <w:kern w:val="0"/>
          <w:sz w:val="32"/>
          <w:szCs w:val="32"/>
        </w:rPr>
        <w:t>本级202</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rPr>
        <w:t>年度决算。</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编制部门：唐山市路南区人民检察院</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1,482.63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编制部门：唐山市路南区人民检察院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1,680.38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1,680.38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1,482.63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1,482.63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1,482.63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1,482.63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1,222.97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1,222.97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其他检察支出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129.56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进修及培训</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培训支出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编制部门：唐山市路南区人民检察院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1,420.72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1,482.63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1,222.97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1,482.63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1,222.97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259.66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1,222.97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1,222.97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129.56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129.56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67.03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67.03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编制部门：唐山市路南区人民检察院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1,482.63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1,482.63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67.68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67.68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67.03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67.03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61.12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61.12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1,680.38</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5"/>
        <w:gridCol w:w="3416"/>
        <w:gridCol w:w="320"/>
        <w:gridCol w:w="910"/>
        <w:gridCol w:w="1037"/>
        <w:gridCol w:w="383"/>
        <w:gridCol w:w="1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编制部门：唐山市路南区人民检察院</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1,680.38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1,420.72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1,482.63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1,222.97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1,482.63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1,222.97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1,222.97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1,222.97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67.68</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67.03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66.61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编制部门：唐山市路南区人民检察院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1,118.89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132.55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231.77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238.26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161.77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74.80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9.94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26.76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33.74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11.14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37.28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276.85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169.28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145.32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31.54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34.87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1,288.17</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编制部门：唐山市路南区人民检察院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w:t>
            </w:r>
            <w:r>
              <w:rPr>
                <w:rFonts w:hint="eastAsia"/>
                <w:sz w:val="24"/>
                <w:szCs w:val="24"/>
                <w:lang w:val="en-US" w:eastAsia="zh-CN"/>
              </w:rPr>
              <w:t>本部门本年度无相关收入（或支出、收支及结转结余等）情况，按要求空表列示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编制部门：唐山市路南区人民检察院</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w:t>
            </w:r>
            <w:r>
              <w:rPr>
                <w:rFonts w:hint="eastAsia"/>
                <w:sz w:val="24"/>
                <w:szCs w:val="24"/>
                <w:lang w:val="en-US" w:eastAsia="zh-CN"/>
              </w:rPr>
              <w:t>本部门本年度无相关收入（或支出、收支及结转结余等）情况，按要求空表列示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编制部门：唐山市路南区人民检察院</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2.79</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2.79</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2.79</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2.61</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2.61</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2.61</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1,680.38</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112.3</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6.26</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eastAsia="zh-CN"/>
        </w:rPr>
        <w:t>节省了各类经费支出</w:t>
      </w:r>
      <w:r>
        <w:rPr>
          <w:rFonts w:hint="default" w:ascii="Times New Roman" w:hAnsi="Times New Roman" w:eastAsia="仿宋_GB2312" w:cs="Times New Roman"/>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1,680.38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，其中：财政拨款收入1,680.38万元，占100%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1,680.38万元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1,420.72万元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占84.55%；</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259.66万元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占15.45%</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年度财政拨款本年收入1,680.38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kern w:val="2"/>
          <w:sz w:val="32"/>
          <w:szCs w:val="32"/>
          <w:lang w:val="en-US" w:eastAsia="zh-CN"/>
        </w:rPr>
        <w:t>112.3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6.26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减少了项目经费收入</w:t>
      </w:r>
      <w:r>
        <w:rPr>
          <w:rFonts w:hint="default" w:ascii="Times New Roman" w:hAnsi="Times New Roman" w:eastAsia="仿宋_GB2312" w:cs="Times New Roman"/>
          <w:color w:val="auto"/>
          <w:kern w:val="2"/>
          <w:sz w:val="32"/>
          <w:szCs w:val="32"/>
          <w:lang w:val="zh-CN" w:eastAsia="zh-CN" w:bidi="ar-SA"/>
        </w:rPr>
        <w:t>；本年支出 1,680.38万元，比上年减少</w:t>
      </w:r>
      <w:r>
        <w:rPr>
          <w:rFonts w:hint="eastAsia" w:ascii="Times New Roman" w:hAnsi="Times New Roman" w:eastAsia="仿宋_GB2312" w:cs="Times New Roman"/>
          <w:kern w:val="2"/>
          <w:sz w:val="32"/>
          <w:szCs w:val="32"/>
          <w:lang w:val="en-US" w:eastAsia="zh-CN"/>
        </w:rPr>
        <w:t>112.3</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6.26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减少项目经费支出</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一般公共预算财政拨款本年收入1,680.38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kern w:val="2"/>
          <w:sz w:val="32"/>
          <w:szCs w:val="32"/>
          <w:lang w:val="en-US" w:eastAsia="zh-CN"/>
        </w:rPr>
        <w:t>112.3</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color w:val="auto"/>
          <w:kern w:val="2"/>
          <w:sz w:val="32"/>
          <w:szCs w:val="32"/>
          <w:lang w:val="en-US" w:eastAsia="zh-CN" w:bidi="ar-SA"/>
        </w:rPr>
        <w:t>6.26</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减少了项目经费收入</w:t>
      </w:r>
      <w:r>
        <w:rPr>
          <w:rFonts w:hint="default" w:ascii="Times New Roman" w:hAnsi="Times New Roman" w:eastAsia="仿宋_GB2312" w:cs="Times New Roman"/>
          <w:kern w:val="2"/>
          <w:sz w:val="32"/>
          <w:szCs w:val="32"/>
          <w:lang w:val="zh-CN"/>
        </w:rPr>
        <w:t>；本年支出 1,680.38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kern w:val="2"/>
          <w:sz w:val="32"/>
          <w:szCs w:val="32"/>
          <w:lang w:val="en-US" w:eastAsia="zh-CN"/>
        </w:rPr>
        <w:t>112.3</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color w:val="auto"/>
          <w:kern w:val="2"/>
          <w:sz w:val="32"/>
          <w:szCs w:val="32"/>
          <w:lang w:val="en-US" w:eastAsia="zh-CN" w:bidi="ar-SA"/>
        </w:rPr>
        <w:t>6.26</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zh-CN" w:eastAsia="zh-CN" w:bidi="ar-SA"/>
        </w:rPr>
        <w:t>减少了项目经费收入</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年度财政拨款本年收入1,680.38万元，完成年初预算的108.93%，比年初预算增加</w:t>
      </w:r>
      <w:r>
        <w:rPr>
          <w:rFonts w:hint="eastAsia" w:ascii="Times New Roman" w:hAnsi="Times New Roman" w:eastAsia="仿宋_GB2312" w:cs="Times New Roman"/>
          <w:color w:val="auto"/>
          <w:kern w:val="2"/>
          <w:sz w:val="32"/>
          <w:szCs w:val="32"/>
          <w:lang w:val="en-US" w:eastAsia="zh-CN" w:bidi="ar-SA"/>
        </w:rPr>
        <w:t>137.8</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zh-CN" w:eastAsia="zh-CN" w:bidi="ar-SA"/>
        </w:rPr>
        <w:t>追加了人员经费收入</w:t>
      </w:r>
      <w:r>
        <w:rPr>
          <w:rFonts w:hint="default" w:ascii="Times New Roman" w:hAnsi="Times New Roman" w:eastAsia="仿宋_GB2312" w:cs="Times New Roman"/>
          <w:color w:val="auto"/>
          <w:kern w:val="2"/>
          <w:sz w:val="32"/>
          <w:szCs w:val="32"/>
          <w:lang w:val="zh-CN" w:eastAsia="zh-CN" w:bidi="ar-SA"/>
        </w:rPr>
        <w:t>；本年支出1,680.38万元，完成年初预算的108.93%，比年初预算增加</w:t>
      </w:r>
      <w:r>
        <w:rPr>
          <w:rFonts w:hint="eastAsia" w:ascii="Times New Roman" w:hAnsi="Times New Roman" w:eastAsia="仿宋_GB2312" w:cs="Times New Roman"/>
          <w:color w:val="auto"/>
          <w:kern w:val="2"/>
          <w:sz w:val="32"/>
          <w:szCs w:val="32"/>
          <w:lang w:val="en-US" w:eastAsia="zh-CN" w:bidi="ar-SA"/>
        </w:rPr>
        <w:t>137.8</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zh-CN"/>
        </w:rPr>
        <w:t>增加了人员经费支出</w:t>
      </w:r>
      <w:r>
        <w:rPr>
          <w:rFonts w:hint="default" w:ascii="Times New Roman" w:hAnsi="Times New Roman" w:eastAsia="仿宋_GB2312" w:cs="Times New Roman"/>
          <w:kern w:val="2"/>
          <w:sz w:val="32"/>
          <w:szCs w:val="32"/>
          <w:lang w:val="zh-CN"/>
        </w:rPr>
        <w:t>。具体情况如下：</w:t>
      </w:r>
    </w:p>
    <w:p>
      <w:pPr>
        <w:numPr>
          <w:ilvl w:val="0"/>
          <w:numId w:val="2"/>
        </w:num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收入1,680.38万元，完成年初预算的 108.93%，</w:t>
      </w:r>
      <w:r>
        <w:rPr>
          <w:rFonts w:hint="default" w:ascii="Times New Roman" w:hAnsi="Times New Roman" w:eastAsia="仿宋_GB2312" w:cs="Times New Roman"/>
          <w:color w:val="auto"/>
          <w:kern w:val="2"/>
          <w:sz w:val="32"/>
          <w:szCs w:val="32"/>
          <w:lang w:val="zh-CN" w:eastAsia="zh-CN" w:bidi="ar-SA"/>
        </w:rPr>
        <w:t>比年初预算增加</w:t>
      </w:r>
      <w:r>
        <w:rPr>
          <w:rFonts w:hint="eastAsia" w:ascii="Times New Roman" w:hAnsi="Times New Roman" w:eastAsia="仿宋_GB2312" w:cs="Times New Roman"/>
          <w:color w:val="auto"/>
          <w:kern w:val="2"/>
          <w:sz w:val="32"/>
          <w:szCs w:val="32"/>
          <w:lang w:val="en-US" w:eastAsia="zh-CN" w:bidi="ar-SA"/>
        </w:rPr>
        <w:t>137.8</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zh-CN" w:eastAsia="zh-CN" w:bidi="ar-SA"/>
        </w:rPr>
        <w:t>追加了人员经费收入</w:t>
      </w:r>
      <w:r>
        <w:rPr>
          <w:rFonts w:hint="default" w:ascii="Times New Roman" w:hAnsi="Times New Roman" w:eastAsia="仿宋_GB2312" w:cs="Times New Roman"/>
          <w:color w:val="auto"/>
          <w:kern w:val="2"/>
          <w:sz w:val="32"/>
          <w:szCs w:val="32"/>
          <w:lang w:val="zh-CN" w:eastAsia="zh-CN" w:bidi="ar-SA"/>
        </w:rPr>
        <w:t>；本年支出1,680.38万元，完成年初预算的108.93%，比年初预算增加</w:t>
      </w:r>
      <w:r>
        <w:rPr>
          <w:rFonts w:hint="eastAsia" w:ascii="Times New Roman" w:hAnsi="Times New Roman" w:eastAsia="仿宋_GB2312" w:cs="Times New Roman"/>
          <w:color w:val="auto"/>
          <w:kern w:val="2"/>
          <w:sz w:val="32"/>
          <w:szCs w:val="32"/>
          <w:lang w:val="en-US" w:eastAsia="zh-CN" w:bidi="ar-SA"/>
        </w:rPr>
        <w:t>137.8</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zh-CN"/>
        </w:rPr>
        <w:t>增加了人员经费支出</w:t>
      </w:r>
      <w:r>
        <w:rPr>
          <w:rFonts w:hint="default" w:ascii="Times New Roman" w:hAnsi="Times New Roman" w:eastAsia="仿宋_GB2312" w:cs="Times New Roman"/>
          <w:kern w:val="2"/>
          <w:sz w:val="32"/>
          <w:szCs w:val="32"/>
          <w:lang w:val="zh-CN"/>
        </w:rPr>
        <w:t>。</w:t>
      </w:r>
    </w:p>
    <w:p>
      <w:pPr>
        <w:numPr>
          <w:ilvl w:val="0"/>
          <w:numId w:val="0"/>
        </w:numPr>
        <w:autoSpaceDE w:val="0"/>
        <w:autoSpaceDN w:val="0"/>
        <w:adjustRightInd w:val="0"/>
        <w:spacing w:line="580" w:lineRule="exact"/>
        <w:ind w:firstLine="320" w:firstLineChars="1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政府性基金预算财政拨款本年收入0万元，完成年初预算的0%，比年初预算增加（减少）</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万元，本年支出0万元，完成年初预算的0%，比年初预算增加（减少）</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0%，比年初预算增加（减少）</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万元；本年支出0万元，完成年初预算的0%，比年初预算增加（减少）</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年度财政拨款支出1,680.38万元，主要用于以下方面：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公共安全类（类）支出1,482.63万元，占88.23%</w:t>
      </w:r>
      <w:r>
        <w:rPr>
          <w:rFonts w:hint="eastAsia" w:ascii="Times New Roman" w:hAnsi="Times New Roman" w:eastAsia="仿宋_GB2312" w:cs="Times New Roman"/>
          <w:color w:val="auto"/>
          <w:kern w:val="2"/>
          <w:sz w:val="32"/>
          <w:szCs w:val="32"/>
          <w:lang w:val="zh-CN" w:eastAsia="zh-CN" w:bidi="ar-SA"/>
        </w:rPr>
        <w:t>，主要用于行政运行和一般行政管理事务</w:t>
      </w:r>
      <w:r>
        <w:rPr>
          <w:rFonts w:hint="default" w:ascii="Times New Roman" w:hAnsi="Times New Roman" w:eastAsia="仿宋_GB2312" w:cs="Times New Roman"/>
          <w:color w:val="auto"/>
          <w:kern w:val="2"/>
          <w:sz w:val="32"/>
          <w:szCs w:val="32"/>
          <w:lang w:val="zh-CN" w:eastAsia="zh-CN" w:bidi="ar-SA"/>
        </w:rPr>
        <w:t>；教育（类）支出1.92万元，占0.11%</w:t>
      </w:r>
      <w:r>
        <w:rPr>
          <w:rFonts w:hint="eastAsia" w:ascii="Times New Roman" w:hAnsi="Times New Roman" w:eastAsia="仿宋_GB2312" w:cs="Times New Roman"/>
          <w:color w:val="auto"/>
          <w:kern w:val="2"/>
          <w:sz w:val="32"/>
          <w:szCs w:val="32"/>
          <w:lang w:val="zh-CN" w:eastAsia="zh-CN" w:bidi="ar-SA"/>
        </w:rPr>
        <w:t>，主要用于培训费</w:t>
      </w:r>
      <w:r>
        <w:rPr>
          <w:rFonts w:hint="default" w:ascii="Times New Roman" w:hAnsi="Times New Roman" w:eastAsia="仿宋_GB2312" w:cs="Times New Roman"/>
          <w:color w:val="auto"/>
          <w:kern w:val="2"/>
          <w:sz w:val="32"/>
          <w:szCs w:val="32"/>
          <w:lang w:val="zh-CN" w:eastAsia="zh-CN" w:bidi="ar-SA"/>
        </w:rPr>
        <w:t>；社会保障和就业 （类）支出67.68万元，占4.03%</w:t>
      </w:r>
      <w:r>
        <w:rPr>
          <w:rFonts w:hint="eastAsia" w:ascii="Times New Roman" w:hAnsi="Times New Roman" w:eastAsia="仿宋_GB2312" w:cs="Times New Roman"/>
          <w:color w:val="auto"/>
          <w:kern w:val="2"/>
          <w:sz w:val="32"/>
          <w:szCs w:val="32"/>
          <w:lang w:val="zh-CN" w:eastAsia="zh-CN" w:bidi="ar-SA"/>
        </w:rPr>
        <w:t>，主要用于行政事业单位养老支出</w:t>
      </w:r>
      <w:r>
        <w:rPr>
          <w:rFonts w:hint="default" w:ascii="Times New Roman" w:hAnsi="Times New Roman" w:eastAsia="仿宋_GB2312" w:cs="Times New Roman"/>
          <w:color w:val="auto"/>
          <w:kern w:val="2"/>
          <w:sz w:val="32"/>
          <w:szCs w:val="32"/>
          <w:lang w:val="zh-CN" w:eastAsia="zh-CN" w:bidi="ar-SA"/>
        </w:rPr>
        <w:t>；卫生健康（类）支出67.03万元，占3.99%</w:t>
      </w:r>
      <w:r>
        <w:rPr>
          <w:rFonts w:hint="eastAsia" w:ascii="Times New Roman" w:hAnsi="Times New Roman" w:eastAsia="仿宋_GB2312" w:cs="Times New Roman"/>
          <w:color w:val="auto"/>
          <w:kern w:val="2"/>
          <w:sz w:val="32"/>
          <w:szCs w:val="32"/>
          <w:lang w:val="zh-CN" w:eastAsia="zh-CN" w:bidi="ar-SA"/>
        </w:rPr>
        <w:t>，主要用于行政事业单位医疗</w:t>
      </w:r>
      <w:r>
        <w:rPr>
          <w:rFonts w:hint="default" w:ascii="Times New Roman" w:hAnsi="Times New Roman" w:eastAsia="仿宋_GB2312" w:cs="Times New Roman"/>
          <w:color w:val="auto"/>
          <w:kern w:val="2"/>
          <w:sz w:val="32"/>
          <w:szCs w:val="32"/>
          <w:lang w:val="zh-CN" w:eastAsia="zh-CN" w:bidi="ar-SA"/>
        </w:rPr>
        <w:t>；住房保障（类）支出61.12万元，占3.64%</w:t>
      </w:r>
      <w:r>
        <w:rPr>
          <w:rFonts w:hint="eastAsia" w:ascii="Times New Roman" w:hAnsi="Times New Roman" w:eastAsia="仿宋_GB2312" w:cs="Times New Roman"/>
          <w:color w:val="auto"/>
          <w:kern w:val="2"/>
          <w:sz w:val="32"/>
          <w:szCs w:val="32"/>
          <w:lang w:val="zh-CN" w:eastAsia="zh-CN" w:bidi="ar-SA"/>
        </w:rPr>
        <w:t>主要用于住房公积金。</w:t>
      </w:r>
    </w:p>
    <w:p>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年度财政拨款基本支出1,420.72万元，其中：</w:t>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default" w:ascii="Times New Roman" w:hAnsi="Times New Roman" w:eastAsia="仿宋_GB2312" w:cs="Times New Roman"/>
          <w:color w:val="auto"/>
          <w:kern w:val="2"/>
          <w:sz w:val="32"/>
          <w:szCs w:val="32"/>
          <w:lang w:val="zh-CN" w:eastAsia="zh-CN" w:bidi="ar-SA"/>
        </w:rPr>
        <w:t>人员经费1,288.17万元，主要包括</w:t>
      </w:r>
      <w:r>
        <w:rPr>
          <w:rFonts w:hint="eastAsia" w:ascii="仿宋_GB2312" w:hAnsi="Times New Roman" w:eastAsia="仿宋_GB2312" w:cs="Wingdings"/>
          <w:sz w:val="32"/>
          <w:szCs w:val="32"/>
        </w:rPr>
        <w:t>基本工资、津贴补贴、奖金、机关事业单位基本养老保险缴费、职工基本医疗保险缴费、公务员医疗补助缴费、</w:t>
      </w:r>
      <w:r>
        <w:rPr>
          <w:rFonts w:hint="eastAsia" w:ascii="仿宋_GB2312" w:hAnsi="Times New Roman" w:eastAsia="仿宋_GB2312" w:cs="Wingdings"/>
          <w:sz w:val="32"/>
          <w:szCs w:val="32"/>
          <w:lang w:eastAsia="zh-CN"/>
        </w:rPr>
        <w:t>其他社会保障缴费、</w:t>
      </w:r>
      <w:r>
        <w:rPr>
          <w:rFonts w:hint="eastAsia" w:ascii="仿宋_GB2312" w:hAnsi="Times New Roman" w:eastAsia="仿宋_GB2312" w:cs="Wingdings"/>
          <w:sz w:val="32"/>
          <w:szCs w:val="32"/>
        </w:rPr>
        <w:t>住房公积金、其他工资福利支出、退休费</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生活补助、医疗费补助、奖励金</w:t>
      </w:r>
      <w:r>
        <w:rPr>
          <w:rFonts w:hint="eastAsia" w:ascii="仿宋_GB2312" w:hAnsi="Times New Roman" w:eastAsia="仿宋_GB2312" w:cs="Wingdings"/>
          <w:sz w:val="32"/>
          <w:szCs w:val="32"/>
          <w:lang w:eastAsia="zh-CN"/>
        </w:rPr>
        <w:t>。</w:t>
      </w:r>
    </w:p>
    <w:p>
      <w:pPr>
        <w:adjustRightInd w:val="0"/>
        <w:snapToGrid w:val="0"/>
        <w:spacing w:line="580" w:lineRule="exact"/>
        <w:ind w:firstLine="660" w:firstLineChars="200"/>
        <w:rPr>
          <w:rFonts w:hint="eastAsia"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公用经费132.55万元，主要包括</w:t>
      </w:r>
      <w:r>
        <w:rPr>
          <w:rFonts w:hint="eastAsia" w:ascii="仿宋_GB2312" w:hAnsi="Times New Roman" w:eastAsia="仿宋_GB2312" w:cs="Wingdings"/>
          <w:sz w:val="32"/>
          <w:szCs w:val="32"/>
        </w:rPr>
        <w:t>办公费、水费、电费、邮电费、取暖费、差旅费、</w:t>
      </w:r>
      <w:r>
        <w:rPr>
          <w:rFonts w:hint="eastAsia" w:ascii="仿宋_GB2312" w:hAnsi="Times New Roman" w:eastAsia="仿宋_GB2312" w:cs="Wingdings"/>
          <w:sz w:val="32"/>
          <w:szCs w:val="32"/>
          <w:lang w:eastAsia="zh-CN"/>
        </w:rPr>
        <w:t>维修费、</w:t>
      </w:r>
      <w:r>
        <w:rPr>
          <w:rFonts w:hint="eastAsia" w:ascii="仿宋_GB2312" w:hAnsi="Times New Roman" w:eastAsia="仿宋_GB2312" w:cs="Wingdings"/>
          <w:sz w:val="32"/>
          <w:szCs w:val="32"/>
        </w:rPr>
        <w:t>培训费、</w:t>
      </w:r>
      <w:r>
        <w:rPr>
          <w:rFonts w:hint="eastAsia" w:ascii="仿宋_GB2312" w:hAnsi="Times New Roman" w:eastAsia="仿宋_GB2312" w:cs="Wingdings"/>
          <w:sz w:val="32"/>
          <w:szCs w:val="32"/>
          <w:lang w:eastAsia="zh-CN"/>
        </w:rPr>
        <w:t>工会经费、</w:t>
      </w:r>
      <w:r>
        <w:rPr>
          <w:rFonts w:hint="eastAsia" w:ascii="仿宋_GB2312" w:hAnsi="Times New Roman" w:eastAsia="仿宋_GB2312" w:cs="Wingdings"/>
          <w:sz w:val="32"/>
          <w:szCs w:val="32"/>
        </w:rPr>
        <w:t>福利费、公务用车运行维护费、其他交通费用、其他商品和服务支出</w:t>
      </w:r>
      <w:r>
        <w:rPr>
          <w:rFonts w:hint="eastAsia" w:ascii="仿宋_GB2312" w:hAnsi="Times New Roman" w:eastAsia="仿宋_GB2312" w:cs="Wingdings"/>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年度“三公”经费财政拨款支出预算为2.79万元，支出决算为 2.61万元，完成预算的 93.61%，较预算减少</w:t>
      </w:r>
      <w:r>
        <w:rPr>
          <w:rFonts w:hint="eastAsia" w:ascii="Times New Roman" w:hAnsi="Times New Roman" w:eastAsia="仿宋_GB2312" w:cs="Times New Roman"/>
          <w:color w:val="auto"/>
          <w:kern w:val="2"/>
          <w:sz w:val="32"/>
          <w:szCs w:val="32"/>
          <w:lang w:val="en-US" w:eastAsia="zh-CN" w:bidi="ar-SA"/>
        </w:rPr>
        <w:t>0.18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6.45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减少公务用车运行维护费支出</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1.08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70.58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增加公务用车运行维护费支出</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default" w:ascii="Times New Roman" w:hAnsi="Times New Roman" w:eastAsia="楷体_GB2312" w:cs="Times New Roman"/>
          <w:b/>
          <w:bCs/>
          <w:kern w:val="2"/>
          <w:sz w:val="32"/>
          <w:szCs w:val="32"/>
          <w:lang w:val="en-US" w:eastAsia="zh-CN" w:bidi="ar-SA"/>
        </w:rPr>
        <w:t>1.因公出国（境）费支出情况。</w:t>
      </w:r>
      <w:r>
        <w:rPr>
          <w:rFonts w:hint="eastAsia" w:ascii="仿宋_GB2312" w:hAnsi="Times New Roman" w:eastAsia="仿宋_GB2312" w:cs="Wingdings"/>
          <w:sz w:val="32"/>
          <w:szCs w:val="32"/>
          <w:lang w:eastAsia="zh-CN"/>
        </w:rPr>
        <w:t>本部门</w:t>
      </w:r>
      <w:r>
        <w:rPr>
          <w:rFonts w:hint="eastAsia" w:ascii="仿宋_GB2312" w:hAnsi="Times New Roman" w:eastAsia="仿宋_GB2312" w:cs="Wingdings"/>
          <w:sz w:val="32"/>
          <w:szCs w:val="32"/>
          <w:lang w:val="en-US" w:eastAsia="zh-CN"/>
        </w:rPr>
        <w:t>2023年度因公出国（境）费支出0万元，与预算持平。因公出国（境）团组0个、共0人、参加其他单位组织的因公出国（境）团组0个、共0人、无本单位组织的因公出国（境）团组。因公出国（境）费支出与预算持平</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年度公务用车购置及运行维护费预算为2.79万元，支出决算 2.61万元，完成预算的93.61%,较预算减少</w:t>
      </w:r>
      <w:r>
        <w:rPr>
          <w:rFonts w:hint="eastAsia" w:ascii="Times New Roman" w:hAnsi="Times New Roman" w:eastAsia="仿宋_GB2312" w:cs="Times New Roman"/>
          <w:color w:val="auto"/>
          <w:kern w:val="2"/>
          <w:sz w:val="32"/>
          <w:szCs w:val="32"/>
          <w:lang w:val="en-US" w:eastAsia="zh-CN" w:bidi="ar-SA"/>
        </w:rPr>
        <w:t>0.18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6.45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减少公务用车运行维护费支出</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1.08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70.58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减少公务用车运行维护费支出</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Wingdings"/>
          <w:sz w:val="32"/>
          <w:szCs w:val="32"/>
          <w:lang w:val="en-US" w:eastAsia="zh-CN"/>
        </w:rPr>
        <w:t>与预算持平。</w:t>
      </w:r>
      <w:r>
        <w:rPr>
          <w:rFonts w:hint="eastAsia" w:ascii="仿宋_GB2312" w:hAnsi="Times New Roman" w:eastAsia="仿宋_GB2312" w:cs="DengXian-Regular"/>
          <w:sz w:val="32"/>
          <w:szCs w:val="32"/>
        </w:rPr>
        <w:t>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我单位本年无公务用车购置费支出</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lang w:val="en-US" w:eastAsia="zh-CN"/>
        </w:rPr>
        <w:t>2022年度决算支出持平。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我单位本年无公务用车购置费支出</w:t>
      </w:r>
      <w:r>
        <w:rPr>
          <w:rFonts w:hint="eastAsia" w:ascii="仿宋_GB2312" w:hAnsi="Times New Roman" w:eastAsia="仿宋_GB2312" w:cs="DengXian-Regular"/>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2.61</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zh-CN" w:eastAsia="zh-CN" w:bidi="ar-SA"/>
        </w:rPr>
        <w:t>单位财政开支公务用车</w:t>
      </w:r>
      <w:r>
        <w:rPr>
          <w:rFonts w:hint="default" w:ascii="Times New Roman" w:hAnsi="Times New Roman" w:eastAsia="仿宋_GB2312" w:cs="Times New Roman"/>
          <w:color w:val="auto"/>
          <w:kern w:val="2"/>
          <w:sz w:val="32"/>
          <w:szCs w:val="32"/>
          <w:lang w:val="zh-CN" w:eastAsia="zh-CN" w:bidi="ar-SA"/>
        </w:rPr>
        <w:t>保有量12辆，发生运行维护费支出2.61万元。公车运行维护费支出较预算减少</w:t>
      </w:r>
      <w:r>
        <w:rPr>
          <w:rFonts w:hint="eastAsia" w:ascii="Times New Roman" w:hAnsi="Times New Roman" w:eastAsia="仿宋_GB2312" w:cs="Times New Roman"/>
          <w:color w:val="auto"/>
          <w:kern w:val="2"/>
          <w:sz w:val="32"/>
          <w:szCs w:val="32"/>
          <w:lang w:val="en-US" w:eastAsia="zh-CN" w:bidi="ar-SA"/>
        </w:rPr>
        <w:t>0.18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6.45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减少公务用车运行维护费支出</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1.08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70.58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增加公务用车运行维护费支出</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default" w:ascii="Times New Roman" w:hAnsi="Times New Roman" w:eastAsia="楷体_GB2312" w:cs="Times New Roman"/>
          <w:b/>
          <w:bCs/>
          <w:kern w:val="2"/>
          <w:sz w:val="32"/>
          <w:szCs w:val="32"/>
          <w:lang w:val="en-US" w:eastAsia="zh-CN" w:bidi="ar-SA"/>
        </w:rPr>
        <w:t>3.公务接待费。</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年度公务接待费支出预算为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与年初预算持平。</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lang w:val="en-US" w:eastAsia="zh-CN"/>
        </w:rPr>
        <w:t>上年度持平</w:t>
      </w:r>
      <w:r>
        <w:rPr>
          <w:rFonts w:hint="eastAsia" w:ascii="仿宋_GB2312" w:hAnsi="Times New Roman" w:eastAsia="仿宋_GB2312" w:cs="DengXian-Regular"/>
          <w:sz w:val="32"/>
          <w:szCs w:val="32"/>
        </w:rPr>
        <w:t>。本年度共发生公务接待</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年度机关运行经费支出132.55万元，较2022年度增减少</w:t>
      </w:r>
      <w:r>
        <w:rPr>
          <w:rFonts w:hint="eastAsia" w:ascii="Times New Roman" w:hAnsi="Times New Roman" w:eastAsia="仿宋_GB2312" w:cs="Times New Roman"/>
          <w:color w:val="auto"/>
          <w:kern w:val="2"/>
          <w:sz w:val="32"/>
          <w:szCs w:val="32"/>
          <w:lang w:val="en-US" w:eastAsia="zh-CN" w:bidi="ar-SA"/>
        </w:rPr>
        <w:t>60.91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31.48</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缩减各项机关运行经费支出</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年度政府采购支出总额36.89万元，从采购类型来看，政府采购货物支出33.73万元、政府采购工程支出0万元、政府采购服务支出3.16万元。授予中小企业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36.89万元，占政府采购支出总额的100%，其中授予小微企业合同金额36.89万元，占政府采购支出总额的100%。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年12月31日，本部门共有车辆12辆，比上年增加</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zh-CN" w:eastAsia="zh-CN" w:bidi="ar-SA"/>
        </w:rPr>
        <w:t>执法执勤用车</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用车0辆，机要通信用车0辆，应急保障用车0辆，执法执勤用车12辆，特种专业技术用车0辆，离退休干部用车0辆，其他用车0辆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245.16</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hAnsi="Times New Roman" w:eastAsia="仿宋_GB2312" w:cs="Times New Roman"/>
          <w:sz w:val="32"/>
          <w:szCs w:val="32"/>
          <w:highlight w:val="yellow"/>
          <w:lang w:val="en-US" w:eastAsia="zh-CN"/>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劳务费、后勤保障经费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245.16</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基本</w:t>
      </w:r>
      <w:r>
        <w:rPr>
          <w:rFonts w:hint="eastAsia" w:ascii="仿宋_GB2312" w:hAnsi="仿宋_GB2312" w:eastAsia="仿宋_GB2312" w:cs="仿宋_GB2312"/>
          <w:sz w:val="32"/>
          <w:szCs w:val="32"/>
          <w:lang w:eastAsia="zh-CN"/>
        </w:rPr>
        <w:t>完成年初设定的绩效目标。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 xml:space="preserve">本部门在今年部门决算公开中反映 </w:t>
      </w:r>
      <w:r>
        <w:rPr>
          <w:rFonts w:hint="eastAsia" w:ascii="Times New Roman" w:hAnsi="Times New Roman" w:eastAsia="仿宋_GB2312" w:cs="Times New Roman"/>
          <w:color w:val="auto"/>
          <w:kern w:val="2"/>
          <w:sz w:val="32"/>
          <w:szCs w:val="32"/>
          <w:lang w:val="zh-CN" w:eastAsia="zh-CN" w:bidi="ar-SA"/>
        </w:rPr>
        <w:t>劳务费</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zh-CN" w:eastAsia="zh-CN" w:bidi="ar-SA"/>
        </w:rPr>
        <w:t>后勤保障经费</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个项目绩效自评结果。</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_GB2312" w:hAnsi="仿宋_GB2312" w:eastAsia="仿宋_GB2312" w:cs="仿宋_GB2312"/>
          <w:sz w:val="32"/>
          <w:szCs w:val="32"/>
          <w:lang w:eastAsia="zh-CN"/>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rPr>
        <w:t>中央政法转移支付资金</w:t>
      </w:r>
      <w:r>
        <w:rPr>
          <w:rFonts w:hint="eastAsia" w:ascii="仿宋_GB2312" w:hAnsi="宋体" w:eastAsia="仿宋_GB2312"/>
          <w:sz w:val="32"/>
          <w:szCs w:val="32"/>
          <w:lang w:val="en-US" w:eastAsia="zh-CN"/>
        </w:rPr>
        <w:t>办案业务费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28.61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55</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w:t>
      </w:r>
      <w:r>
        <w:rPr>
          <w:rFonts w:hint="eastAsia" w:ascii="仿宋_GB2312" w:hAnsi="仿宋_GB2312" w:eastAsia="仿宋_GB2312" w:cs="仿宋_GB2312"/>
          <w:sz w:val="32"/>
          <w:szCs w:val="32"/>
          <w:lang w:eastAsia="zh-CN"/>
        </w:rPr>
        <w:t>部分</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_GB2312" w:hAnsi="仿宋_GB2312" w:eastAsia="仿宋_GB2312" w:cs="仿宋_GB2312"/>
          <w:sz w:val="32"/>
          <w:szCs w:val="32"/>
          <w:lang w:eastAsia="zh-CN"/>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rPr>
        <w:t>中央政法转移支付资金</w:t>
      </w:r>
      <w:r>
        <w:rPr>
          <w:rFonts w:hint="eastAsia" w:ascii="仿宋_GB2312" w:hAnsi="宋体" w:eastAsia="仿宋_GB2312"/>
          <w:sz w:val="32"/>
          <w:szCs w:val="32"/>
          <w:lang w:val="en-US" w:eastAsia="zh-CN"/>
        </w:rPr>
        <w:t>业务装备费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23</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16.62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仿宋_GB2312" w:hAnsi="宋体" w:eastAsia="仿宋_GB2312"/>
          <w:sz w:val="32"/>
          <w:szCs w:val="32"/>
          <w:lang w:val="en-US" w:eastAsia="zh-CN"/>
        </w:rPr>
        <w:t>72.26</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w:t>
      </w:r>
      <w:r>
        <w:rPr>
          <w:rFonts w:hint="eastAsia" w:ascii="仿宋_GB2312" w:hAnsi="仿宋_GB2312" w:eastAsia="仿宋_GB2312" w:cs="仿宋_GB2312"/>
          <w:sz w:val="32"/>
          <w:szCs w:val="32"/>
          <w:lang w:eastAsia="zh-CN"/>
        </w:rPr>
        <w:t>部分</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lang w:eastAsia="zh-CN"/>
        </w:rPr>
        <w:t>省级</w:t>
      </w:r>
      <w:r>
        <w:rPr>
          <w:rFonts w:hint="eastAsia" w:ascii="仿宋_GB2312" w:hAnsi="宋体" w:eastAsia="仿宋_GB2312"/>
          <w:sz w:val="32"/>
          <w:szCs w:val="32"/>
        </w:rPr>
        <w:t>政法转移支付资金</w:t>
      </w:r>
      <w:r>
        <w:rPr>
          <w:rFonts w:hint="eastAsia" w:ascii="仿宋_GB2312" w:hAnsi="宋体" w:eastAsia="仿宋_GB2312"/>
          <w:sz w:val="32"/>
          <w:szCs w:val="32"/>
          <w:lang w:val="en-US" w:eastAsia="zh-CN"/>
        </w:rPr>
        <w:t>办案业务费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53</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37.3</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仿宋_GB2312" w:hAnsi="宋体" w:eastAsia="仿宋_GB2312"/>
          <w:sz w:val="32"/>
          <w:szCs w:val="32"/>
          <w:lang w:val="en-US" w:eastAsia="zh-CN"/>
        </w:rPr>
        <w:t>70.4</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w:t>
      </w:r>
      <w:r>
        <w:rPr>
          <w:rFonts w:hint="eastAsia" w:ascii="仿宋_GB2312" w:hAnsi="仿宋_GB2312" w:eastAsia="仿宋_GB2312" w:cs="仿宋_GB2312"/>
          <w:sz w:val="32"/>
          <w:szCs w:val="32"/>
          <w:lang w:eastAsia="zh-CN"/>
        </w:rPr>
        <w:t>部分</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lang w:eastAsia="zh-CN"/>
        </w:rPr>
        <w:t>省级</w:t>
      </w:r>
      <w:r>
        <w:rPr>
          <w:rFonts w:hint="eastAsia" w:ascii="仿宋_GB2312" w:hAnsi="宋体" w:eastAsia="仿宋_GB2312"/>
          <w:sz w:val="32"/>
          <w:szCs w:val="32"/>
        </w:rPr>
        <w:t>政法转移支付资金</w:t>
      </w:r>
      <w:r>
        <w:rPr>
          <w:rFonts w:hint="eastAsia" w:ascii="仿宋_GB2312" w:hAnsi="宋体" w:eastAsia="仿宋_GB2312"/>
          <w:sz w:val="32"/>
          <w:szCs w:val="32"/>
          <w:lang w:val="en-US" w:eastAsia="zh-CN"/>
        </w:rPr>
        <w:t>业务装备费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24</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24</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仿宋_GB2312" w:hAnsi="宋体" w:eastAsia="仿宋_GB2312"/>
          <w:sz w:val="32"/>
          <w:szCs w:val="32"/>
          <w:lang w:val="en-US" w:eastAsia="zh-CN"/>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lang w:val="en-US" w:eastAsia="zh-CN"/>
        </w:rPr>
        <w:t>第二批</w:t>
      </w:r>
      <w:r>
        <w:rPr>
          <w:rFonts w:hint="eastAsia" w:ascii="仿宋_GB2312" w:hAnsi="宋体" w:eastAsia="仿宋_GB2312"/>
          <w:sz w:val="32"/>
          <w:szCs w:val="32"/>
        </w:rPr>
        <w:t>中央政法转移支付资金</w:t>
      </w:r>
      <w:r>
        <w:rPr>
          <w:rFonts w:hint="eastAsia" w:ascii="仿宋_GB2312" w:hAnsi="宋体" w:eastAsia="仿宋_GB2312"/>
          <w:sz w:val="32"/>
          <w:szCs w:val="32"/>
          <w:lang w:val="en-US" w:eastAsia="zh-CN"/>
        </w:rPr>
        <w:t>办案业务费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0.92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仿宋_GB2312" w:hAnsi="宋体" w:eastAsia="仿宋_GB2312"/>
          <w:sz w:val="32"/>
          <w:szCs w:val="32"/>
          <w:lang w:val="en-US" w:eastAsia="zh-CN"/>
        </w:rPr>
        <w:t>30.7</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w:t>
      </w:r>
      <w:r>
        <w:rPr>
          <w:rFonts w:hint="eastAsia" w:ascii="仿宋_GB2312" w:hAnsi="仿宋_GB2312" w:eastAsia="仿宋_GB2312" w:cs="仿宋_GB2312"/>
          <w:sz w:val="32"/>
          <w:szCs w:val="32"/>
          <w:lang w:eastAsia="zh-CN"/>
        </w:rPr>
        <w:t>部分</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lang w:val="en-US" w:eastAsia="zh-CN"/>
        </w:rPr>
        <w:t>第二批</w:t>
      </w:r>
      <w:r>
        <w:rPr>
          <w:rFonts w:hint="eastAsia" w:ascii="仿宋_GB2312" w:hAnsi="宋体" w:eastAsia="仿宋_GB2312"/>
          <w:sz w:val="32"/>
          <w:szCs w:val="32"/>
        </w:rPr>
        <w:t>中央政法转移支付资金</w:t>
      </w:r>
      <w:r>
        <w:rPr>
          <w:rFonts w:hint="eastAsia" w:ascii="仿宋_GB2312" w:hAnsi="宋体" w:eastAsia="仿宋_GB2312"/>
          <w:sz w:val="32"/>
          <w:szCs w:val="32"/>
          <w:lang w:val="en-US" w:eastAsia="zh-CN"/>
        </w:rPr>
        <w:t>业务装备费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22.1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仿宋_GB2312" w:hAnsi="宋体" w:eastAsia="仿宋_GB2312"/>
          <w:sz w:val="32"/>
          <w:szCs w:val="32"/>
          <w:lang w:val="en-US" w:eastAsia="zh-CN"/>
        </w:rPr>
        <w:t>88.4</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w:t>
      </w:r>
      <w:r>
        <w:rPr>
          <w:rFonts w:hint="eastAsia" w:ascii="仿宋_GB2312" w:hAnsi="仿宋_GB2312" w:eastAsia="仿宋_GB2312" w:cs="仿宋_GB2312"/>
          <w:sz w:val="32"/>
          <w:szCs w:val="32"/>
          <w:lang w:eastAsia="zh-CN"/>
        </w:rPr>
        <w:t>部分</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lang w:val="en-US" w:eastAsia="zh-CN"/>
        </w:rPr>
        <w:t>后勤保障经费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_GB2312" w:hAnsi="宋体" w:eastAsia="仿宋_GB2312"/>
          <w:sz w:val="32"/>
          <w:szCs w:val="32"/>
          <w:lang w:val="en-US" w:eastAsia="zh-CN"/>
        </w:rPr>
        <w:t>32.96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_GB2312" w:hAnsi="宋体" w:eastAsia="仿宋_GB2312"/>
          <w:sz w:val="32"/>
          <w:szCs w:val="32"/>
          <w:lang w:val="en-US" w:eastAsia="zh-CN"/>
        </w:rPr>
        <w:t>27.99</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仿宋_GB2312" w:hAnsi="宋体" w:eastAsia="仿宋_GB2312"/>
          <w:sz w:val="32"/>
          <w:szCs w:val="32"/>
          <w:lang w:val="en-US" w:eastAsia="zh-CN"/>
        </w:rPr>
        <w:t>84.9</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w:t>
      </w:r>
      <w:r>
        <w:rPr>
          <w:rFonts w:hint="eastAsia" w:ascii="仿宋_GB2312" w:hAnsi="仿宋_GB2312" w:eastAsia="仿宋_GB2312" w:cs="仿宋_GB2312"/>
          <w:sz w:val="32"/>
          <w:szCs w:val="32"/>
          <w:lang w:eastAsia="zh-CN"/>
        </w:rPr>
        <w:t>部分</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lang w:val="en-US" w:eastAsia="zh-CN"/>
        </w:rPr>
        <w:t>劳务费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_GB2312" w:hAnsi="宋体" w:eastAsia="仿宋_GB2312"/>
          <w:sz w:val="32"/>
          <w:szCs w:val="32"/>
          <w:lang w:val="en-US" w:eastAsia="zh-CN"/>
        </w:rPr>
        <w:t>23.76</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_GB2312" w:hAnsi="宋体" w:eastAsia="仿宋_GB2312"/>
          <w:sz w:val="32"/>
          <w:szCs w:val="32"/>
          <w:lang w:val="en-US" w:eastAsia="zh-CN"/>
        </w:rPr>
        <w:t>23.76</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仿宋_GB2312" w:hAnsi="宋体" w:eastAsia="仿宋_GB2312"/>
          <w:sz w:val="32"/>
          <w:szCs w:val="32"/>
          <w:lang w:val="en-US" w:eastAsia="zh-CN"/>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w:t>
      </w:r>
      <w:r>
        <w:rPr>
          <w:rFonts w:hint="eastAsia" w:ascii="仿宋_GB2312" w:hAnsi="仿宋_GB2312" w:eastAsia="仿宋_GB2312" w:cs="仿宋_GB2312"/>
          <w:sz w:val="32"/>
          <w:szCs w:val="32"/>
          <w:lang w:eastAsia="zh-CN"/>
        </w:rPr>
        <w:t>部分</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pStyle w:val="10"/>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宋体" w:eastAsia="仿宋_GB2312"/>
          <w:sz w:val="32"/>
          <w:szCs w:val="32"/>
          <w:lang w:val="en-US" w:eastAsia="zh-CN"/>
        </w:rPr>
        <w:t>其他办公办案费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仿宋_GB2312" w:hAnsi="宋体" w:eastAsia="仿宋_GB2312"/>
          <w:sz w:val="32"/>
          <w:szCs w:val="32"/>
          <w:lang w:val="en-US" w:eastAsia="zh-CN"/>
        </w:rPr>
        <w:t>8.44</w:t>
      </w:r>
      <w:r>
        <w:rPr>
          <w:rFonts w:hint="default" w:ascii="Times New Roman" w:hAnsi="Times New Roman" w:eastAsia="仿宋_GB2312" w:cs="Times New Roman"/>
          <w:color w:val="auto"/>
          <w:kern w:val="2"/>
          <w:sz w:val="32"/>
          <w:szCs w:val="32"/>
          <w:lang w:val="zh-CN" w:eastAsia="zh-CN" w:bidi="ar-SA"/>
        </w:rPr>
        <w:t>万元，执行数为</w:t>
      </w:r>
      <w:r>
        <w:rPr>
          <w:rFonts w:hint="eastAsia" w:ascii="仿宋_GB2312" w:hAnsi="宋体" w:eastAsia="仿宋_GB2312"/>
          <w:sz w:val="32"/>
          <w:szCs w:val="32"/>
          <w:lang w:val="en-US" w:eastAsia="zh-CN"/>
        </w:rPr>
        <w:t>8.26</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仿宋_GB2312" w:hAnsi="宋体" w:eastAsia="仿宋_GB2312"/>
          <w:sz w:val="32"/>
          <w:szCs w:val="32"/>
          <w:lang w:val="en-US" w:eastAsia="zh-CN"/>
        </w:rPr>
        <w:t>97.8</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完成了年初</w:t>
      </w:r>
      <w:r>
        <w:rPr>
          <w:rFonts w:hint="eastAsia" w:ascii="仿宋_GB2312" w:hAnsi="仿宋_GB2312" w:eastAsia="仿宋_GB2312" w:cs="仿宋_GB2312"/>
          <w:sz w:val="32"/>
          <w:szCs w:val="32"/>
          <w:lang w:eastAsia="zh-CN"/>
        </w:rPr>
        <w:t>部分</w:t>
      </w:r>
      <w:r>
        <w:rPr>
          <w:rFonts w:hint="eastAsia" w:ascii="仿宋_GB2312" w:hAnsi="仿宋_GB2312" w:eastAsia="仿宋_GB2312" w:cs="仿宋_GB2312"/>
          <w:sz w:val="32"/>
          <w:szCs w:val="32"/>
        </w:rPr>
        <w:t>设定的绩效目标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numPr>
          <w:ilvl w:val="0"/>
          <w:numId w:val="5"/>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部门整体年度目标为保障人员经费，保障检察工作正常运转，维护社会稳定，专项项目顺利开展。具体完成情况：完成人员经费申请及发放，公用经费的申请以及合理使用，积极推进年初项目进行。整体完成情况以及针对偏差采取的措施：对公用经费、人员经费合理安排，均衡支出，接下来工作计划继续推进，提高预算执行率。</w:t>
      </w:r>
    </w:p>
    <w:p>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仿宋_GB2312" w:hAnsi="仿宋_GB2312" w:eastAsia="仿宋_GB2312" w:cs="仿宋_GB2312"/>
          <w:sz w:val="32"/>
          <w:szCs w:val="32"/>
        </w:rPr>
        <w:t>未</w:t>
      </w:r>
      <w:r>
        <w:rPr>
          <w:rFonts w:hint="eastAsia" w:ascii="仿宋_GB2312" w:hAnsi="仿宋_GB2312" w:eastAsia="仿宋_GB2312" w:cs="仿宋_GB2312"/>
          <w:sz w:val="32"/>
          <w:szCs w:val="32"/>
          <w:highlight w:val="none"/>
        </w:rPr>
        <w:t>发生政府性基金预算、国有资金经营预算收支及结转结余情况，故政府性基金预算</w:t>
      </w:r>
      <w:r>
        <w:rPr>
          <w:rFonts w:hint="eastAsia" w:ascii="仿宋_GB2312" w:hAnsi="仿宋_GB2312" w:eastAsia="仿宋_GB2312" w:cs="仿宋_GB2312"/>
          <w:sz w:val="32"/>
          <w:szCs w:val="32"/>
          <w:highlight w:val="none"/>
          <w:lang w:eastAsia="zh-CN"/>
        </w:rPr>
        <w:t>表</w:t>
      </w:r>
      <w:r>
        <w:rPr>
          <w:rFonts w:hint="eastAsia" w:ascii="仿宋_GB2312" w:hAnsi="仿宋_GB2312" w:eastAsia="仿宋_GB2312" w:cs="仿宋_GB2312"/>
          <w:sz w:val="32"/>
          <w:szCs w:val="32"/>
          <w:highlight w:val="none"/>
        </w:rPr>
        <w:t>、国有资金经营预算</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bookmarkStart w:id="0" w:name="_GoBack"/>
      <w:bookmarkEnd w:id="0"/>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C4C81A81-93F6-43C5-93D8-B67F5B5B0230}"/>
  </w:font>
  <w:font w:name="Arial">
    <w:panose1 w:val="020B0604020202020204"/>
    <w:charset w:val="01"/>
    <w:family w:val="swiss"/>
    <w:pitch w:val="default"/>
    <w:sig w:usb0="00007A87" w:usb1="80000000" w:usb2="00000008" w:usb3="00000000" w:csb0="400001FF" w:csb1="FFFF0000"/>
    <w:embedRegular r:id="rId2" w:fontKey="{26D4A5DF-E8FE-46C0-B8D3-55EB9DDDAF09}"/>
  </w:font>
  <w:font w:name="黑体">
    <w:altName w:val="宋体"/>
    <w:panose1 w:val="02010609060101010101"/>
    <w:charset w:val="86"/>
    <w:family w:val="auto"/>
    <w:pitch w:val="default"/>
    <w:sig w:usb0="800002BF" w:usb1="38CF7CFA" w:usb2="00000016" w:usb3="00000000" w:csb0="00040001" w:csb1="00000000"/>
    <w:embedRegular r:id="rId3" w:fontKey="{B7958693-913F-4D0C-A61D-498521693406}"/>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4" w:fontKey="{28273E1D-9945-4F3F-B33F-9EDE2511C4FF}"/>
  </w:font>
  <w:font w:name="仿宋">
    <w:panose1 w:val="02010609060101010101"/>
    <w:charset w:val="86"/>
    <w:family w:val="modern"/>
    <w:pitch w:val="default"/>
    <w:sig w:usb0="00000000" w:usb1="00000000" w:usb2="00000000" w:usb3="00000000" w:csb0="00000000" w:csb1="00000000"/>
    <w:embedRegular r:id="rId5" w:fontKey="{357BAAF7-84B6-488D-B041-7A1FFE27A08D}"/>
  </w:font>
  <w:font w:name="Calibri Light">
    <w:altName w:val="Calibri"/>
    <w:panose1 w:val="020F0302020204030204"/>
    <w:charset w:val="00"/>
    <w:family w:val="auto"/>
    <w:pitch w:val="default"/>
    <w:sig w:usb0="00000000" w:usb1="00000000"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859F07E4-C5D7-4036-B687-848EB4068E3D}"/>
  </w:font>
  <w:font w:name="思源黑体 CN Heavy">
    <w:altName w:val="黑体"/>
    <w:panose1 w:val="00000000000000000000"/>
    <w:charset w:val="86"/>
    <w:family w:val="swiss"/>
    <w:pitch w:val="default"/>
    <w:sig w:usb0="00000000" w:usb1="00000000" w:usb2="00000016" w:usb3="00000000" w:csb0="00060107" w:csb1="00000000"/>
    <w:embedRegular r:id="rId7" w:fontKey="{43A9F397-270A-47A9-AAC3-C5EA7E3C6BDF}"/>
  </w:font>
  <w:font w:name="楷体_GB2312">
    <w:altName w:val="Arial Unicode MS"/>
    <w:panose1 w:val="02010609030101010101"/>
    <w:charset w:val="86"/>
    <w:family w:val="auto"/>
    <w:pitch w:val="default"/>
    <w:sig w:usb0="00000000" w:usb1="00000000" w:usb2="00000000" w:usb3="00000000" w:csb0="00040000" w:csb1="00000000"/>
    <w:embedRegular r:id="rId8" w:fontKey="{812D243A-BF82-4B2F-BF77-B57D3ADE92A7}"/>
  </w:font>
  <w:font w:name="仿宋_GB2312">
    <w:panose1 w:val="02010609030101010101"/>
    <w:charset w:val="86"/>
    <w:family w:val="auto"/>
    <w:pitch w:val="default"/>
    <w:sig w:usb0="00000001" w:usb1="080E0000" w:usb2="00000000" w:usb3="00000000" w:csb0="00040000" w:csb1="00000000"/>
    <w:embedRegular r:id="rId9" w:fontKey="{404817DB-B9B9-40B0-8645-95F59737DA86}"/>
  </w:font>
  <w:font w:name="ArialUnicodeMS">
    <w:altName w:val="Calibri"/>
    <w:panose1 w:val="00000000000000000000"/>
    <w:charset w:val="81"/>
    <w:family w:val="auto"/>
    <w:pitch w:val="default"/>
    <w:sig w:usb0="00000000" w:usb1="00000000" w:usb2="00000010" w:usb3="00000000" w:csb0="00080001" w:csb1="00000000"/>
    <w:embedRegular r:id="rId10" w:fontKey="{497BD07D-4361-4CA4-88CD-459917F2F857}"/>
  </w:font>
  <w:font w:name="方正仿宋_GB2312">
    <w:altName w:val="仿宋"/>
    <w:panose1 w:val="02000000000000000000"/>
    <w:charset w:val="86"/>
    <w:family w:val="auto"/>
    <w:pitch w:val="default"/>
    <w:sig w:usb0="00000000" w:usb1="00000000" w:usb2="00000012" w:usb3="00000000" w:csb0="00040001" w:csb1="00000000"/>
    <w:embedRegular r:id="rId11" w:fontKey="{BBF8BB8D-F203-43B9-8A01-5F2F3EEA9600}"/>
  </w:font>
  <w:font w:name="DengXian-Regular">
    <w:altName w:val="宋体"/>
    <w:panose1 w:val="00000000000000000000"/>
    <w:charset w:val="86"/>
    <w:family w:val="auto"/>
    <w:pitch w:val="default"/>
    <w:sig w:usb0="00000000" w:usb1="00000000" w:usb2="00000010" w:usb3="00000000" w:csb0="00040001" w:csb1="00000000"/>
    <w:embedRegular r:id="rId12" w:fontKey="{AF45CE8F-C854-4DD8-A04A-3638F202679A}"/>
  </w:font>
  <w:font w:name="微软雅黑">
    <w:panose1 w:val="020B0503020204020204"/>
    <w:charset w:val="86"/>
    <w:family w:val="auto"/>
    <w:pitch w:val="default"/>
    <w:sig w:usb0="80000287" w:usb1="2A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楷体_GB2312">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31DDD0"/>
    <w:multiLevelType w:val="singleLevel"/>
    <w:tmpl w:val="9831DDD0"/>
    <w:lvl w:ilvl="0" w:tentative="0">
      <w:start w:val="1"/>
      <w:numFmt w:val="decimal"/>
      <w:suff w:val="nothing"/>
      <w:lvlText w:val="%1、"/>
      <w:lvlJc w:val="left"/>
    </w:lvl>
  </w:abstractNum>
  <w:abstractNum w:abstractNumId="1">
    <w:nsid w:val="C4D3C767"/>
    <w:multiLevelType w:val="singleLevel"/>
    <w:tmpl w:val="C4D3C767"/>
    <w:lvl w:ilvl="0" w:tentative="0">
      <w:start w:val="1"/>
      <w:numFmt w:val="decimal"/>
      <w:lvlText w:val="%1."/>
      <w:lvlJc w:val="left"/>
      <w:pPr>
        <w:tabs>
          <w:tab w:val="left" w:pos="312"/>
        </w:tabs>
      </w:pPr>
    </w:lvl>
  </w:abstractNum>
  <w:abstractNum w:abstractNumId="2">
    <w:nsid w:val="DBE869C9"/>
    <w:multiLevelType w:val="singleLevel"/>
    <w:tmpl w:val="DBE869C9"/>
    <w:lvl w:ilvl="0" w:tentative="0">
      <w:start w:val="3"/>
      <w:numFmt w:val="chineseCounting"/>
      <w:suff w:val="nothing"/>
      <w:lvlText w:val="（%1）"/>
      <w:lvlJc w:val="left"/>
      <w:rPr>
        <w:rFonts w:hint="eastAsia"/>
      </w:rPr>
    </w:lvl>
  </w:abstractNum>
  <w:abstractNum w:abstractNumId="3">
    <w:nsid w:val="F31EB42C"/>
    <w:multiLevelType w:val="singleLevel"/>
    <w:tmpl w:val="F31EB42C"/>
    <w:lvl w:ilvl="0" w:tentative="0">
      <w:start w:val="4"/>
      <w:numFmt w:val="chineseCounting"/>
      <w:suff w:val="nothing"/>
      <w:lvlText w:val="（%1）"/>
      <w:lvlJc w:val="left"/>
      <w:rPr>
        <w:rFonts w:hint="eastAsia"/>
      </w:rPr>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gsImhkaWQiOiI5YTIwYTJiYTk5NjYyYTEzNzNhNjhmZWFlMTE3Zjk3MSIsInVzZXJDb3VudCI6MX0="/>
  </w:docVars>
  <w:rsids>
    <w:rsidRoot w:val="00000000"/>
    <w:rsid w:val="00086151"/>
    <w:rsid w:val="00236F8C"/>
    <w:rsid w:val="00822154"/>
    <w:rsid w:val="00C65689"/>
    <w:rsid w:val="00CC2C8E"/>
    <w:rsid w:val="015E78AC"/>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8A084D"/>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D0D03"/>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9716AF"/>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3D71F3"/>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AB1FBA"/>
    <w:rsid w:val="52DF0C92"/>
    <w:rsid w:val="52E1159C"/>
    <w:rsid w:val="52E34D6A"/>
    <w:rsid w:val="531E524E"/>
    <w:rsid w:val="534072EB"/>
    <w:rsid w:val="537648BE"/>
    <w:rsid w:val="538E2D0B"/>
    <w:rsid w:val="53922782"/>
    <w:rsid w:val="539C1424"/>
    <w:rsid w:val="53A639C0"/>
    <w:rsid w:val="53F00A24"/>
    <w:rsid w:val="53F63DBA"/>
    <w:rsid w:val="5448624E"/>
    <w:rsid w:val="546C3785"/>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414630"/>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E1593"/>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4E150D"/>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742A73"/>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9436</Words>
  <Characters>11627</Characters>
  <Lines>86</Lines>
  <Paragraphs>24</Paragraphs>
  <TotalTime>91</TotalTime>
  <ScaleCrop>false</ScaleCrop>
  <LinksUpToDate>false</LinksUpToDate>
  <CharactersWithSpaces>12230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2024-10-18T03:23:19Z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