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7</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11</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15</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19</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19</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23</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24</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29</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29</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30</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31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1768.14</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r>
              <w:t xml:space="preserve">1573.98</w:t>
            </w: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79.35</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67.22</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63.59</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1768.14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1786.14</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18.00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1786.14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1786.14</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1786.14</w:t>
            </w:r>
          </w:p>
        </w:tc>
        <w:tc>
          <w:tcPr>
            <w:tcW w:w="1134" w:type="dxa"/>
            <w:vAlign w:val="center"/>
          </w:tcPr>
          <w:p>
            <w:pPr>
              <w:pStyle w:val="单元格样式7"/>
            </w:pPr>
            <w:r>
              <w:t xml:space="preserve">1768.14</w:t>
            </w:r>
          </w:p>
        </w:tc>
        <w:tc>
          <w:tcPr>
            <w:tcW w:w="1134" w:type="dxa"/>
            <w:vAlign w:val="center"/>
          </w:tcPr>
          <w:p>
            <w:pPr>
              <w:pStyle w:val="单元格样式7"/>
            </w:pPr>
            <w:r>
              <w:t xml:space="preserve">1768.14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18.00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204</w:t>
            </w:r>
          </w:p>
        </w:tc>
        <w:tc>
          <w:tcPr>
            <w:tcW w:w="1559" w:type="dxa"/>
            <w:vAlign w:val="center"/>
          </w:tcPr>
          <w:p>
            <w:pPr>
              <w:pStyle w:val="单元格样式2"/>
            </w:pPr>
            <w:r>
              <w:t xml:space="preserve">公共安全支出</w:t>
            </w:r>
          </w:p>
        </w:tc>
        <w:tc>
          <w:tcPr>
            <w:tcW w:w="1134" w:type="dxa"/>
            <w:vAlign w:val="center"/>
          </w:tcPr>
          <w:p>
            <w:pPr>
              <w:pStyle w:val="单元格样式4"/>
            </w:pPr>
            <w:r>
              <w:t xml:space="preserve">1573.98</w:t>
            </w:r>
          </w:p>
        </w:tc>
        <w:tc>
          <w:tcPr>
            <w:tcW w:w="1134" w:type="dxa"/>
            <w:vAlign w:val="center"/>
          </w:tcPr>
          <w:p>
            <w:pPr>
              <w:pStyle w:val="单元格样式4"/>
            </w:pPr>
            <w:r>
              <w:t xml:space="preserve">1555.98</w:t>
            </w:r>
          </w:p>
        </w:tc>
        <w:tc>
          <w:tcPr>
            <w:tcW w:w="1134" w:type="dxa"/>
            <w:vAlign w:val="center"/>
          </w:tcPr>
          <w:p>
            <w:pPr>
              <w:pStyle w:val="单元格样式4"/>
            </w:pPr>
            <w:r>
              <w:t xml:space="preserve">1555.98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20404</w:t>
            </w:r>
          </w:p>
        </w:tc>
        <w:tc>
          <w:tcPr>
            <w:tcW w:w="1559" w:type="dxa"/>
            <w:vAlign w:val="center"/>
          </w:tcPr>
          <w:p>
            <w:pPr>
              <w:pStyle w:val="单元格样式2"/>
            </w:pPr>
            <w:r>
              <w:t xml:space="preserve">检察</w:t>
            </w:r>
          </w:p>
        </w:tc>
        <w:tc>
          <w:tcPr>
            <w:tcW w:w="1134" w:type="dxa"/>
            <w:vAlign w:val="center"/>
          </w:tcPr>
          <w:p>
            <w:pPr>
              <w:pStyle w:val="单元格样式4"/>
            </w:pPr>
            <w:r>
              <w:t xml:space="preserve">1573.98</w:t>
            </w:r>
          </w:p>
        </w:tc>
        <w:tc>
          <w:tcPr>
            <w:tcW w:w="1134" w:type="dxa"/>
            <w:vAlign w:val="center"/>
          </w:tcPr>
          <w:p>
            <w:pPr>
              <w:pStyle w:val="单元格样式4"/>
            </w:pPr>
            <w:r>
              <w:t xml:space="preserve">1555.98</w:t>
            </w:r>
          </w:p>
        </w:tc>
        <w:tc>
          <w:tcPr>
            <w:tcW w:w="1134" w:type="dxa"/>
            <w:vAlign w:val="center"/>
          </w:tcPr>
          <w:p>
            <w:pPr>
              <w:pStyle w:val="单元格样式4"/>
            </w:pPr>
            <w:r>
              <w:t xml:space="preserve">1555.98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2040401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1390.49</w:t>
            </w:r>
          </w:p>
        </w:tc>
        <w:tc>
          <w:tcPr>
            <w:tcW w:w="1134" w:type="dxa"/>
            <w:vAlign w:val="center"/>
          </w:tcPr>
          <w:p>
            <w:pPr>
              <w:pStyle w:val="单元格样式4"/>
            </w:pPr>
            <w:r>
              <w:t xml:space="preserve">1390.49</w:t>
            </w:r>
          </w:p>
        </w:tc>
        <w:tc>
          <w:tcPr>
            <w:tcW w:w="1134" w:type="dxa"/>
            <w:vAlign w:val="center"/>
          </w:tcPr>
          <w:p>
            <w:pPr>
              <w:pStyle w:val="单元格样式4"/>
            </w:pPr>
            <w:r>
              <w:t xml:space="preserve">1390.49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2040402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165.49</w:t>
            </w:r>
          </w:p>
        </w:tc>
        <w:tc>
          <w:tcPr>
            <w:tcW w:w="1134" w:type="dxa"/>
            <w:vAlign w:val="center"/>
          </w:tcPr>
          <w:p>
            <w:pPr>
              <w:pStyle w:val="单元格样式4"/>
            </w:pPr>
            <w:r>
              <w:t xml:space="preserve">165.49</w:t>
            </w:r>
          </w:p>
        </w:tc>
        <w:tc>
          <w:tcPr>
            <w:tcW w:w="1134" w:type="dxa"/>
            <w:vAlign w:val="center"/>
          </w:tcPr>
          <w:p>
            <w:pPr>
              <w:pStyle w:val="单元格样式4"/>
            </w:pPr>
            <w:r>
              <w:t xml:space="preserve">165.49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2040499</w:t>
            </w:r>
          </w:p>
        </w:tc>
        <w:tc>
          <w:tcPr>
            <w:tcW w:w="1559" w:type="dxa"/>
            <w:vAlign w:val="center"/>
          </w:tcPr>
          <w:p>
            <w:pPr>
              <w:pStyle w:val="单元格样式2"/>
            </w:pPr>
            <w:r>
              <w:t xml:space="preserve">其他检察支出</w:t>
            </w:r>
          </w:p>
        </w:tc>
        <w:tc>
          <w:tcPr>
            <w:tcW w:w="1134" w:type="dxa"/>
            <w:vAlign w:val="center"/>
          </w:tcPr>
          <w:p>
            <w:pPr>
              <w:pStyle w:val="单元格样式4"/>
            </w:pPr>
            <w:r>
              <w:t xml:space="preserve">18.00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18.00</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r>
              <w:t xml:space="preserve">79.35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r>
              <w:t xml:space="preserve">67.22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31.96</w:t>
            </w:r>
          </w:p>
        </w:tc>
        <w:tc>
          <w:tcPr>
            <w:tcW w:w="1134" w:type="dxa"/>
            <w:vAlign w:val="center"/>
          </w:tcPr>
          <w:p>
            <w:pPr>
              <w:pStyle w:val="单元格样式4"/>
            </w:pPr>
            <w:r>
              <w:t xml:space="preserve">31.96</w:t>
            </w:r>
          </w:p>
        </w:tc>
        <w:tc>
          <w:tcPr>
            <w:tcW w:w="1134" w:type="dxa"/>
            <w:vAlign w:val="center"/>
          </w:tcPr>
          <w:p>
            <w:pPr>
              <w:pStyle w:val="单元格样式4"/>
            </w:pPr>
            <w:r>
              <w:t xml:space="preserve">31.96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35.26</w:t>
            </w:r>
          </w:p>
        </w:tc>
        <w:tc>
          <w:tcPr>
            <w:tcW w:w="1134" w:type="dxa"/>
            <w:vAlign w:val="center"/>
          </w:tcPr>
          <w:p>
            <w:pPr>
              <w:pStyle w:val="单元格样式4"/>
            </w:pPr>
            <w:r>
              <w:t xml:space="preserve">35.26</w:t>
            </w:r>
          </w:p>
        </w:tc>
        <w:tc>
          <w:tcPr>
            <w:tcW w:w="1134" w:type="dxa"/>
            <w:vAlign w:val="center"/>
          </w:tcPr>
          <w:p>
            <w:pPr>
              <w:pStyle w:val="单元格样式4"/>
            </w:pPr>
            <w:r>
              <w:t xml:space="preserve">35.26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r>
              <w:t xml:space="preserve">63.59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1786.14</w:t>
            </w:r>
          </w:p>
        </w:tc>
        <w:tc>
          <w:tcPr>
            <w:tcW w:w="1361" w:type="dxa"/>
            <w:vAlign w:val="center"/>
          </w:tcPr>
          <w:p>
            <w:pPr>
              <w:pStyle w:val="单元格样式7"/>
            </w:pPr>
            <w:r>
              <w:t xml:space="preserve">1602.65</w:t>
            </w:r>
          </w:p>
        </w:tc>
        <w:tc>
          <w:tcPr>
            <w:tcW w:w="1361" w:type="dxa"/>
            <w:vAlign w:val="center"/>
          </w:tcPr>
          <w:p>
            <w:pPr>
              <w:pStyle w:val="单元格样式7"/>
            </w:pPr>
            <w:r>
              <w:t xml:space="preserve">183.49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1361" w:type="dxa"/>
            <w:vAlign w:val="center"/>
          </w:tcPr>
          <w:p>
            <w:pPr>
              <w:pStyle w:val="单元格样式4"/>
            </w:pPr>
            <w:r>
              <w:t xml:space="preserve">1573.98</w:t>
            </w:r>
          </w:p>
        </w:tc>
        <w:tc>
          <w:tcPr>
            <w:tcW w:w="1361" w:type="dxa"/>
            <w:vAlign w:val="center"/>
          </w:tcPr>
          <w:p>
            <w:pPr>
              <w:pStyle w:val="单元格样式4"/>
            </w:pPr>
            <w:r>
              <w:t xml:space="preserve">1390.49</w:t>
            </w:r>
          </w:p>
        </w:tc>
        <w:tc>
          <w:tcPr>
            <w:tcW w:w="1361" w:type="dxa"/>
            <w:vAlign w:val="center"/>
          </w:tcPr>
          <w:p>
            <w:pPr>
              <w:pStyle w:val="单元格样式4"/>
            </w:pPr>
            <w:r>
              <w:t xml:space="preserve">183.49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20404</w:t>
            </w:r>
          </w:p>
        </w:tc>
        <w:tc>
          <w:tcPr>
            <w:tcW w:w="4535" w:type="dxa"/>
            <w:vAlign w:val="center"/>
          </w:tcPr>
          <w:p>
            <w:pPr>
              <w:pStyle w:val="单元格样式2"/>
            </w:pPr>
            <w:r>
              <w:t xml:space="preserve">检察</w:t>
            </w:r>
          </w:p>
        </w:tc>
        <w:tc>
          <w:tcPr>
            <w:tcW w:w="1361" w:type="dxa"/>
            <w:vAlign w:val="center"/>
          </w:tcPr>
          <w:p>
            <w:pPr>
              <w:pStyle w:val="单元格样式4"/>
            </w:pPr>
            <w:r>
              <w:t xml:space="preserve">1573.98</w:t>
            </w:r>
          </w:p>
        </w:tc>
        <w:tc>
          <w:tcPr>
            <w:tcW w:w="1361" w:type="dxa"/>
            <w:vAlign w:val="center"/>
          </w:tcPr>
          <w:p>
            <w:pPr>
              <w:pStyle w:val="单元格样式4"/>
            </w:pPr>
            <w:r>
              <w:t xml:space="preserve">1390.49</w:t>
            </w:r>
          </w:p>
        </w:tc>
        <w:tc>
          <w:tcPr>
            <w:tcW w:w="1361" w:type="dxa"/>
            <w:vAlign w:val="center"/>
          </w:tcPr>
          <w:p>
            <w:pPr>
              <w:pStyle w:val="单元格样式4"/>
            </w:pPr>
            <w:r>
              <w:t xml:space="preserve">183.49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2040401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1390.49</w:t>
            </w:r>
          </w:p>
        </w:tc>
        <w:tc>
          <w:tcPr>
            <w:tcW w:w="1361" w:type="dxa"/>
            <w:vAlign w:val="center"/>
          </w:tcPr>
          <w:p>
            <w:pPr>
              <w:pStyle w:val="单元格样式4"/>
            </w:pPr>
            <w:r>
              <w:t xml:space="preserve">1390.49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2040402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165.49</w:t>
            </w:r>
          </w:p>
        </w:tc>
        <w:tc>
          <w:tcPr>
            <w:tcW w:w="1361" w:type="dxa"/>
            <w:vAlign w:val="center"/>
          </w:tcPr>
          <w:p>
            <w:pPr>
              <w:pStyle w:val="单元格样式4"/>
            </w:pPr>
          </w:p>
        </w:tc>
        <w:tc>
          <w:tcPr>
            <w:tcW w:w="1361" w:type="dxa"/>
            <w:vAlign w:val="center"/>
          </w:tcPr>
          <w:p>
            <w:pPr>
              <w:pStyle w:val="单元格样式4"/>
            </w:pPr>
            <w:r>
              <w:t xml:space="preserve">165.49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2040499</w:t>
            </w:r>
          </w:p>
        </w:tc>
        <w:tc>
          <w:tcPr>
            <w:tcW w:w="4535" w:type="dxa"/>
            <w:vAlign w:val="center"/>
          </w:tcPr>
          <w:p>
            <w:pPr>
              <w:pStyle w:val="单元格样式2"/>
            </w:pPr>
            <w:r>
              <w:t xml:space="preserve">其他检察支出</w:t>
            </w: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2.00</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2.00</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2.00</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79.35</w:t>
            </w:r>
          </w:p>
        </w:tc>
        <w:tc>
          <w:tcPr>
            <w:tcW w:w="1361" w:type="dxa"/>
            <w:vAlign w:val="center"/>
          </w:tcPr>
          <w:p>
            <w:pPr>
              <w:pStyle w:val="单元格样式4"/>
            </w:pPr>
            <w:r>
              <w:t xml:space="preserve">79.35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79.35</w:t>
            </w:r>
          </w:p>
        </w:tc>
        <w:tc>
          <w:tcPr>
            <w:tcW w:w="1361" w:type="dxa"/>
            <w:vAlign w:val="center"/>
          </w:tcPr>
          <w:p>
            <w:pPr>
              <w:pStyle w:val="单元格样式4"/>
            </w:pPr>
            <w:r>
              <w:t xml:space="preserve">79.35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79.35</w:t>
            </w:r>
          </w:p>
        </w:tc>
        <w:tc>
          <w:tcPr>
            <w:tcW w:w="1361" w:type="dxa"/>
            <w:vAlign w:val="center"/>
          </w:tcPr>
          <w:p>
            <w:pPr>
              <w:pStyle w:val="单元格样式4"/>
            </w:pPr>
            <w:r>
              <w:t xml:space="preserve">79.35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67.22</w:t>
            </w:r>
          </w:p>
        </w:tc>
        <w:tc>
          <w:tcPr>
            <w:tcW w:w="1361" w:type="dxa"/>
            <w:vAlign w:val="center"/>
          </w:tcPr>
          <w:p>
            <w:pPr>
              <w:pStyle w:val="单元格样式4"/>
            </w:pPr>
            <w:r>
              <w:t xml:space="preserve">67.22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67.22</w:t>
            </w:r>
          </w:p>
        </w:tc>
        <w:tc>
          <w:tcPr>
            <w:tcW w:w="1361" w:type="dxa"/>
            <w:vAlign w:val="center"/>
          </w:tcPr>
          <w:p>
            <w:pPr>
              <w:pStyle w:val="单元格样式4"/>
            </w:pPr>
            <w:r>
              <w:t xml:space="preserve">67.22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31.96</w:t>
            </w:r>
          </w:p>
        </w:tc>
        <w:tc>
          <w:tcPr>
            <w:tcW w:w="1361" w:type="dxa"/>
            <w:vAlign w:val="center"/>
          </w:tcPr>
          <w:p>
            <w:pPr>
              <w:pStyle w:val="单元格样式4"/>
            </w:pPr>
            <w:r>
              <w:t xml:space="preserve">31.96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35.26</w:t>
            </w:r>
          </w:p>
        </w:tc>
        <w:tc>
          <w:tcPr>
            <w:tcW w:w="1361" w:type="dxa"/>
            <w:vAlign w:val="center"/>
          </w:tcPr>
          <w:p>
            <w:pPr>
              <w:pStyle w:val="单元格样式4"/>
            </w:pPr>
            <w:r>
              <w:t xml:space="preserve">35.26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63.59</w:t>
            </w:r>
          </w:p>
        </w:tc>
        <w:tc>
          <w:tcPr>
            <w:tcW w:w="1361" w:type="dxa"/>
            <w:vAlign w:val="center"/>
          </w:tcPr>
          <w:p>
            <w:pPr>
              <w:pStyle w:val="单元格样式4"/>
            </w:pPr>
            <w:r>
              <w:t xml:space="preserve">63.59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63.59</w:t>
            </w:r>
          </w:p>
        </w:tc>
        <w:tc>
          <w:tcPr>
            <w:tcW w:w="1361" w:type="dxa"/>
            <w:vAlign w:val="center"/>
          </w:tcPr>
          <w:p>
            <w:pPr>
              <w:pStyle w:val="单元格样式4"/>
            </w:pPr>
            <w:r>
              <w:t xml:space="preserve">63.59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63.59</w:t>
            </w:r>
          </w:p>
        </w:tc>
        <w:tc>
          <w:tcPr>
            <w:tcW w:w="1361" w:type="dxa"/>
            <w:vAlign w:val="center"/>
          </w:tcPr>
          <w:p>
            <w:pPr>
              <w:pStyle w:val="单元格样式4"/>
            </w:pPr>
            <w:r>
              <w:t xml:space="preserve">63.59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1768.14</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r>
              <w:t xml:space="preserve">1573.98</w:t>
            </w:r>
          </w:p>
        </w:tc>
        <w:tc>
          <w:tcPr>
            <w:tcW w:w="1474" w:type="dxa"/>
            <w:vAlign w:val="center"/>
          </w:tcPr>
          <w:p>
            <w:pPr>
              <w:pStyle w:val="单元格样式4"/>
            </w:pPr>
            <w:r>
              <w:t xml:space="preserve">1573.98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2.00</w:t>
            </w:r>
          </w:p>
        </w:tc>
        <w:tc>
          <w:tcPr>
            <w:tcW w:w="1474" w:type="dxa"/>
            <w:vAlign w:val="center"/>
          </w:tcPr>
          <w:p>
            <w:pPr>
              <w:pStyle w:val="单元格样式4"/>
            </w:pPr>
            <w:r>
              <w:t xml:space="preserve">2.00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79.35</w:t>
            </w:r>
          </w:p>
        </w:tc>
        <w:tc>
          <w:tcPr>
            <w:tcW w:w="1474" w:type="dxa"/>
            <w:vAlign w:val="center"/>
          </w:tcPr>
          <w:p>
            <w:pPr>
              <w:pStyle w:val="单元格样式4"/>
            </w:pPr>
            <w:r>
              <w:t xml:space="preserve">79.35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67.22</w:t>
            </w:r>
          </w:p>
        </w:tc>
        <w:tc>
          <w:tcPr>
            <w:tcW w:w="1474" w:type="dxa"/>
            <w:vAlign w:val="center"/>
          </w:tcPr>
          <w:p>
            <w:pPr>
              <w:pStyle w:val="单元格样式4"/>
            </w:pPr>
            <w:r>
              <w:t xml:space="preserve">67.22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63.59</w:t>
            </w:r>
          </w:p>
        </w:tc>
        <w:tc>
          <w:tcPr>
            <w:tcW w:w="1474" w:type="dxa"/>
            <w:vAlign w:val="center"/>
          </w:tcPr>
          <w:p>
            <w:pPr>
              <w:pStyle w:val="单元格样式4"/>
            </w:pPr>
            <w:r>
              <w:t xml:space="preserve">63.59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1768.14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1786.14</w:t>
            </w:r>
          </w:p>
        </w:tc>
        <w:tc>
          <w:tcPr>
            <w:tcW w:w="1474" w:type="dxa"/>
            <w:vAlign w:val="center"/>
          </w:tcPr>
          <w:p>
            <w:pPr>
              <w:pStyle w:val="单元格样式7"/>
            </w:pPr>
            <w:r>
              <w:t xml:space="preserve">1786.14</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18.00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18.00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1786.14</w:t>
            </w:r>
          </w:p>
        </w:tc>
        <w:tc>
          <w:tcPr>
            <w:tcW w:w="3402" w:type="dxa"/>
            <w:vAlign w:val="center"/>
          </w:tcPr>
          <w:p>
            <w:pPr>
              <w:pStyle w:val="单元格样式6"/>
            </w:pPr>
            <w:r>
              <w:t xml:space="preserve">支出总计</w:t>
            </w:r>
          </w:p>
        </w:tc>
        <w:tc>
          <w:tcPr>
            <w:tcW w:w="1474" w:type="dxa"/>
            <w:vAlign w:val="center"/>
          </w:tcPr>
          <w:p>
            <w:pPr>
              <w:pStyle w:val="单元格样式7"/>
            </w:pPr>
            <w:r>
              <w:t xml:space="preserve">1786.14</w:t>
            </w:r>
          </w:p>
        </w:tc>
        <w:tc>
          <w:tcPr>
            <w:tcW w:w="1474" w:type="dxa"/>
            <w:vAlign w:val="center"/>
          </w:tcPr>
          <w:p>
            <w:pPr>
              <w:pStyle w:val="单元格样式7"/>
            </w:pPr>
            <w:r>
              <w:t xml:space="preserve">1786.14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1786.14</w:t>
            </w:r>
          </w:p>
        </w:tc>
        <w:tc>
          <w:tcPr>
            <w:tcW w:w="2551" w:type="dxa"/>
            <w:vAlign w:val="center"/>
          </w:tcPr>
          <w:p>
            <w:pPr>
              <w:pStyle w:val="单元格样式7"/>
            </w:pPr>
            <w:r>
              <w:t xml:space="preserve">1602.65</w:t>
            </w:r>
          </w:p>
        </w:tc>
        <w:tc>
          <w:tcPr>
            <w:tcW w:w="2551" w:type="dxa"/>
            <w:vAlign w:val="center"/>
          </w:tcPr>
          <w:p>
            <w:pPr>
              <w:pStyle w:val="单元格样式7"/>
            </w:pPr>
            <w:r>
              <w:t xml:space="preserve">183.49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2551" w:type="dxa"/>
            <w:vAlign w:val="center"/>
          </w:tcPr>
          <w:p>
            <w:pPr>
              <w:pStyle w:val="单元格样式4"/>
            </w:pPr>
            <w:r>
              <w:t xml:space="preserve">1573.98</w:t>
            </w:r>
          </w:p>
        </w:tc>
        <w:tc>
          <w:tcPr>
            <w:tcW w:w="2551" w:type="dxa"/>
            <w:vAlign w:val="center"/>
          </w:tcPr>
          <w:p>
            <w:pPr>
              <w:pStyle w:val="单元格样式4"/>
            </w:pPr>
            <w:r>
              <w:t xml:space="preserve">1390.49</w:t>
            </w:r>
          </w:p>
        </w:tc>
        <w:tc>
          <w:tcPr>
            <w:tcW w:w="2551" w:type="dxa"/>
            <w:vAlign w:val="center"/>
          </w:tcPr>
          <w:p>
            <w:pPr>
              <w:pStyle w:val="单元格样式4"/>
            </w:pPr>
            <w:r>
              <w:t xml:space="preserve">183.49</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20404</w:t>
            </w:r>
          </w:p>
        </w:tc>
        <w:tc>
          <w:tcPr>
            <w:tcW w:w="4535" w:type="dxa"/>
            <w:vAlign w:val="center"/>
          </w:tcPr>
          <w:p>
            <w:pPr>
              <w:pStyle w:val="单元格样式2"/>
            </w:pPr>
            <w:r>
              <w:t xml:space="preserve">检察</w:t>
            </w:r>
          </w:p>
        </w:tc>
        <w:tc>
          <w:tcPr>
            <w:tcW w:w="2551" w:type="dxa"/>
            <w:vAlign w:val="center"/>
          </w:tcPr>
          <w:p>
            <w:pPr>
              <w:pStyle w:val="单元格样式4"/>
            </w:pPr>
            <w:r>
              <w:t xml:space="preserve">1573.98</w:t>
            </w:r>
          </w:p>
        </w:tc>
        <w:tc>
          <w:tcPr>
            <w:tcW w:w="2551" w:type="dxa"/>
            <w:vAlign w:val="center"/>
          </w:tcPr>
          <w:p>
            <w:pPr>
              <w:pStyle w:val="单元格样式4"/>
            </w:pPr>
            <w:r>
              <w:t xml:space="preserve">1390.49</w:t>
            </w:r>
          </w:p>
        </w:tc>
        <w:tc>
          <w:tcPr>
            <w:tcW w:w="2551" w:type="dxa"/>
            <w:vAlign w:val="center"/>
          </w:tcPr>
          <w:p>
            <w:pPr>
              <w:pStyle w:val="单元格样式4"/>
            </w:pPr>
            <w:r>
              <w:t xml:space="preserve">183.49</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2040401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1390.49</w:t>
            </w:r>
          </w:p>
        </w:tc>
        <w:tc>
          <w:tcPr>
            <w:tcW w:w="2551" w:type="dxa"/>
            <w:vAlign w:val="center"/>
          </w:tcPr>
          <w:p>
            <w:pPr>
              <w:pStyle w:val="单元格样式4"/>
            </w:pPr>
            <w:r>
              <w:t xml:space="preserve">1390.49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2040402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165.49</w:t>
            </w:r>
          </w:p>
        </w:tc>
        <w:tc>
          <w:tcPr>
            <w:tcW w:w="2551" w:type="dxa"/>
            <w:vAlign w:val="center"/>
          </w:tcPr>
          <w:p>
            <w:pPr>
              <w:pStyle w:val="单元格样式4"/>
            </w:pPr>
          </w:p>
        </w:tc>
        <w:tc>
          <w:tcPr>
            <w:tcW w:w="2551" w:type="dxa"/>
            <w:vAlign w:val="center"/>
          </w:tcPr>
          <w:p>
            <w:pPr>
              <w:pStyle w:val="单元格样式4"/>
            </w:pPr>
            <w:r>
              <w:t xml:space="preserve">165.49</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2040499</w:t>
            </w:r>
          </w:p>
        </w:tc>
        <w:tc>
          <w:tcPr>
            <w:tcW w:w="4535" w:type="dxa"/>
            <w:vAlign w:val="center"/>
          </w:tcPr>
          <w:p>
            <w:pPr>
              <w:pStyle w:val="单元格样式2"/>
            </w:pPr>
            <w:r>
              <w:t xml:space="preserve">其他检察支出</w:t>
            </w:r>
          </w:p>
        </w:tc>
        <w:tc>
          <w:tcPr>
            <w:tcW w:w="2551" w:type="dxa"/>
            <w:vAlign w:val="center"/>
          </w:tcPr>
          <w:p>
            <w:pPr>
              <w:pStyle w:val="单元格样式4"/>
            </w:pPr>
            <w:r>
              <w:t xml:space="preserve">18.00</w:t>
            </w:r>
          </w:p>
        </w:tc>
        <w:tc>
          <w:tcPr>
            <w:tcW w:w="2551" w:type="dxa"/>
            <w:vAlign w:val="center"/>
          </w:tcPr>
          <w:p>
            <w:pPr>
              <w:pStyle w:val="单元格样式4"/>
            </w:pPr>
          </w:p>
        </w:tc>
        <w:tc>
          <w:tcPr>
            <w:tcW w:w="2551" w:type="dxa"/>
            <w:vAlign w:val="center"/>
          </w:tcPr>
          <w:p>
            <w:pPr>
              <w:pStyle w:val="单元格样式4"/>
            </w:pPr>
            <w:r>
              <w:t xml:space="preserve">18.00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2.00</w:t>
            </w:r>
          </w:p>
        </w:tc>
        <w:tc>
          <w:tcPr>
            <w:tcW w:w="2551" w:type="dxa"/>
            <w:vAlign w:val="center"/>
          </w:tcPr>
          <w:p>
            <w:pPr>
              <w:pStyle w:val="单元格样式4"/>
            </w:pPr>
            <w:r>
              <w:t xml:space="preserve">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2.00</w:t>
            </w:r>
          </w:p>
        </w:tc>
        <w:tc>
          <w:tcPr>
            <w:tcW w:w="2551" w:type="dxa"/>
            <w:vAlign w:val="center"/>
          </w:tcPr>
          <w:p>
            <w:pPr>
              <w:pStyle w:val="单元格样式4"/>
            </w:pPr>
            <w:r>
              <w:t xml:space="preserve">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2.00</w:t>
            </w:r>
          </w:p>
        </w:tc>
        <w:tc>
          <w:tcPr>
            <w:tcW w:w="2551" w:type="dxa"/>
            <w:vAlign w:val="center"/>
          </w:tcPr>
          <w:p>
            <w:pPr>
              <w:pStyle w:val="单元格样式4"/>
            </w:pPr>
            <w:r>
              <w:t xml:space="preserve">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67.22</w:t>
            </w:r>
          </w:p>
        </w:tc>
        <w:tc>
          <w:tcPr>
            <w:tcW w:w="2551" w:type="dxa"/>
            <w:vAlign w:val="center"/>
          </w:tcPr>
          <w:p>
            <w:pPr>
              <w:pStyle w:val="单元格样式4"/>
            </w:pPr>
            <w:r>
              <w:t xml:space="preserve">67.22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67.22</w:t>
            </w:r>
          </w:p>
        </w:tc>
        <w:tc>
          <w:tcPr>
            <w:tcW w:w="2551" w:type="dxa"/>
            <w:vAlign w:val="center"/>
          </w:tcPr>
          <w:p>
            <w:pPr>
              <w:pStyle w:val="单元格样式4"/>
            </w:pPr>
            <w:r>
              <w:t xml:space="preserve">67.22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31.96</w:t>
            </w:r>
          </w:p>
        </w:tc>
        <w:tc>
          <w:tcPr>
            <w:tcW w:w="2551" w:type="dxa"/>
            <w:vAlign w:val="center"/>
          </w:tcPr>
          <w:p>
            <w:pPr>
              <w:pStyle w:val="单元格样式4"/>
            </w:pPr>
            <w:r>
              <w:t xml:space="preserve">31.96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35.26</w:t>
            </w:r>
          </w:p>
        </w:tc>
        <w:tc>
          <w:tcPr>
            <w:tcW w:w="2551" w:type="dxa"/>
            <w:vAlign w:val="center"/>
          </w:tcPr>
          <w:p>
            <w:pPr>
              <w:pStyle w:val="单元格样式4"/>
            </w:pPr>
            <w:r>
              <w:t xml:space="preserve">35.26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1602.65</w:t>
            </w:r>
          </w:p>
        </w:tc>
        <w:tc>
          <w:tcPr>
            <w:tcW w:w="2551" w:type="dxa"/>
            <w:vAlign w:val="center"/>
          </w:tcPr>
          <w:p>
            <w:pPr>
              <w:pStyle w:val="单元格样式7"/>
            </w:pPr>
            <w:r>
              <w:t xml:space="preserve">1492.49</w:t>
            </w:r>
          </w:p>
        </w:tc>
        <w:tc>
          <w:tcPr>
            <w:tcW w:w="2551" w:type="dxa"/>
            <w:vAlign w:val="center"/>
          </w:tcPr>
          <w:p>
            <w:pPr>
              <w:pStyle w:val="单元格样式7"/>
            </w:pPr>
            <w:r>
              <w:t xml:space="preserve">110.16</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1304.43</w:t>
            </w:r>
          </w:p>
        </w:tc>
        <w:tc>
          <w:tcPr>
            <w:tcW w:w="2551" w:type="dxa"/>
            <w:vAlign w:val="center"/>
          </w:tcPr>
          <w:p>
            <w:pPr>
              <w:pStyle w:val="单元格样式4"/>
            </w:pPr>
            <w:r>
              <w:t xml:space="preserve">1304.43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243.27</w:t>
            </w:r>
          </w:p>
        </w:tc>
        <w:tc>
          <w:tcPr>
            <w:tcW w:w="2551" w:type="dxa"/>
            <w:vAlign w:val="center"/>
          </w:tcPr>
          <w:p>
            <w:pPr>
              <w:pStyle w:val="单元格样式4"/>
            </w:pPr>
            <w:r>
              <w:t xml:space="preserve">243.27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236.66</w:t>
            </w:r>
          </w:p>
        </w:tc>
        <w:tc>
          <w:tcPr>
            <w:tcW w:w="2551" w:type="dxa"/>
            <w:vAlign w:val="center"/>
          </w:tcPr>
          <w:p>
            <w:pPr>
              <w:pStyle w:val="单元格样式4"/>
            </w:pPr>
            <w:r>
              <w:t xml:space="preserve">236.66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267.18</w:t>
            </w:r>
          </w:p>
        </w:tc>
        <w:tc>
          <w:tcPr>
            <w:tcW w:w="2551" w:type="dxa"/>
            <w:vAlign w:val="center"/>
          </w:tcPr>
          <w:p>
            <w:pPr>
              <w:pStyle w:val="单元格样式4"/>
            </w:pPr>
            <w:r>
              <w:t xml:space="preserve">267.18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79.35</w:t>
            </w:r>
          </w:p>
        </w:tc>
        <w:tc>
          <w:tcPr>
            <w:tcW w:w="2551" w:type="dxa"/>
            <w:vAlign w:val="center"/>
          </w:tcPr>
          <w:p>
            <w:pPr>
              <w:pStyle w:val="单元格样式4"/>
            </w:pPr>
            <w:r>
              <w:t xml:space="preserve">79.35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31.96</w:t>
            </w:r>
          </w:p>
        </w:tc>
        <w:tc>
          <w:tcPr>
            <w:tcW w:w="2551" w:type="dxa"/>
            <w:vAlign w:val="center"/>
          </w:tcPr>
          <w:p>
            <w:pPr>
              <w:pStyle w:val="单元格样式4"/>
            </w:pPr>
            <w:r>
              <w:t xml:space="preserve">31.96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35.26</w:t>
            </w:r>
          </w:p>
        </w:tc>
        <w:tc>
          <w:tcPr>
            <w:tcW w:w="2551" w:type="dxa"/>
            <w:vAlign w:val="center"/>
          </w:tcPr>
          <w:p>
            <w:pPr>
              <w:pStyle w:val="单元格样式4"/>
            </w:pPr>
            <w:r>
              <w:t xml:space="preserve">35.26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2.51</w:t>
            </w:r>
          </w:p>
        </w:tc>
        <w:tc>
          <w:tcPr>
            <w:tcW w:w="2551" w:type="dxa"/>
            <w:vAlign w:val="center"/>
          </w:tcPr>
          <w:p>
            <w:pPr>
              <w:pStyle w:val="单元格样式4"/>
            </w:pPr>
            <w:r>
              <w:t xml:space="preserve">2.51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63.59</w:t>
            </w:r>
          </w:p>
        </w:tc>
        <w:tc>
          <w:tcPr>
            <w:tcW w:w="2551" w:type="dxa"/>
            <w:vAlign w:val="center"/>
          </w:tcPr>
          <w:p>
            <w:pPr>
              <w:pStyle w:val="单元格样式4"/>
            </w:pPr>
            <w:r>
              <w:t xml:space="preserve">63.59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344.65</w:t>
            </w:r>
          </w:p>
        </w:tc>
        <w:tc>
          <w:tcPr>
            <w:tcW w:w="2551" w:type="dxa"/>
            <w:vAlign w:val="center"/>
          </w:tcPr>
          <w:p>
            <w:pPr>
              <w:pStyle w:val="单元格样式4"/>
            </w:pPr>
            <w:r>
              <w:t xml:space="preserve">344.65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110.16</w:t>
            </w:r>
          </w:p>
        </w:tc>
        <w:tc>
          <w:tcPr>
            <w:tcW w:w="2551" w:type="dxa"/>
            <w:vAlign w:val="center"/>
          </w:tcPr>
          <w:p>
            <w:pPr>
              <w:pStyle w:val="单元格样式4"/>
            </w:pPr>
          </w:p>
        </w:tc>
        <w:tc>
          <w:tcPr>
            <w:tcW w:w="2551" w:type="dxa"/>
            <w:vAlign w:val="center"/>
          </w:tcPr>
          <w:p>
            <w:pPr>
              <w:pStyle w:val="单元格样式4"/>
            </w:pPr>
            <w:r>
              <w:t xml:space="preserve">110.16</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8.41</w:t>
            </w:r>
          </w:p>
        </w:tc>
        <w:tc>
          <w:tcPr>
            <w:tcW w:w="2551" w:type="dxa"/>
            <w:vAlign w:val="center"/>
          </w:tcPr>
          <w:p>
            <w:pPr>
              <w:pStyle w:val="单元格样式4"/>
            </w:pPr>
          </w:p>
        </w:tc>
        <w:tc>
          <w:tcPr>
            <w:tcW w:w="2551" w:type="dxa"/>
            <w:vAlign w:val="center"/>
          </w:tcPr>
          <w:p>
            <w:pPr>
              <w:pStyle w:val="单元格样式4"/>
            </w:pPr>
            <w:r>
              <w:t xml:space="preserve">8.41</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22.61</w:t>
            </w:r>
          </w:p>
        </w:tc>
        <w:tc>
          <w:tcPr>
            <w:tcW w:w="2551" w:type="dxa"/>
            <w:vAlign w:val="center"/>
          </w:tcPr>
          <w:p>
            <w:pPr>
              <w:pStyle w:val="单元格样式4"/>
            </w:pPr>
          </w:p>
        </w:tc>
        <w:tc>
          <w:tcPr>
            <w:tcW w:w="2551" w:type="dxa"/>
            <w:vAlign w:val="center"/>
          </w:tcPr>
          <w:p>
            <w:pPr>
              <w:pStyle w:val="单元格样式4"/>
            </w:pPr>
            <w:r>
              <w:t xml:space="preserve">22.61</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11.14</w:t>
            </w:r>
          </w:p>
        </w:tc>
        <w:tc>
          <w:tcPr>
            <w:tcW w:w="2551" w:type="dxa"/>
            <w:vAlign w:val="center"/>
          </w:tcPr>
          <w:p>
            <w:pPr>
              <w:pStyle w:val="单元格样式4"/>
            </w:pPr>
          </w:p>
        </w:tc>
        <w:tc>
          <w:tcPr>
            <w:tcW w:w="2551" w:type="dxa"/>
            <w:vAlign w:val="center"/>
          </w:tcPr>
          <w:p>
            <w:pPr>
              <w:pStyle w:val="单元格样式4"/>
            </w:pPr>
            <w:r>
              <w:t xml:space="preserve">11.14</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6.24</w:t>
            </w:r>
          </w:p>
        </w:tc>
        <w:tc>
          <w:tcPr>
            <w:tcW w:w="2551" w:type="dxa"/>
            <w:vAlign w:val="center"/>
          </w:tcPr>
          <w:p>
            <w:pPr>
              <w:pStyle w:val="单元格样式4"/>
            </w:pPr>
          </w:p>
        </w:tc>
        <w:tc>
          <w:tcPr>
            <w:tcW w:w="2551" w:type="dxa"/>
            <w:vAlign w:val="center"/>
          </w:tcPr>
          <w:p>
            <w:pPr>
              <w:pStyle w:val="单元格样式4"/>
            </w:pPr>
            <w:r>
              <w:t xml:space="preserve">6.24</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7.98</w:t>
            </w:r>
          </w:p>
        </w:tc>
        <w:tc>
          <w:tcPr>
            <w:tcW w:w="2551" w:type="dxa"/>
            <w:vAlign w:val="center"/>
          </w:tcPr>
          <w:p>
            <w:pPr>
              <w:pStyle w:val="单元格样式4"/>
            </w:pPr>
          </w:p>
        </w:tc>
        <w:tc>
          <w:tcPr>
            <w:tcW w:w="2551" w:type="dxa"/>
            <w:vAlign w:val="center"/>
          </w:tcPr>
          <w:p>
            <w:pPr>
              <w:pStyle w:val="单元格样式4"/>
            </w:pPr>
            <w:r>
              <w:t xml:space="preserve">7.98</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2.29</w:t>
            </w:r>
          </w:p>
        </w:tc>
        <w:tc>
          <w:tcPr>
            <w:tcW w:w="2551" w:type="dxa"/>
            <w:vAlign w:val="center"/>
          </w:tcPr>
          <w:p>
            <w:pPr>
              <w:pStyle w:val="单元格样式4"/>
            </w:pPr>
          </w:p>
        </w:tc>
        <w:tc>
          <w:tcPr>
            <w:tcW w:w="2551" w:type="dxa"/>
            <w:vAlign w:val="center"/>
          </w:tcPr>
          <w:p>
            <w:pPr>
              <w:pStyle w:val="单元格样式4"/>
            </w:pPr>
            <w:r>
              <w:t xml:space="preserve">2.29</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30.65</w:t>
            </w:r>
          </w:p>
        </w:tc>
        <w:tc>
          <w:tcPr>
            <w:tcW w:w="2551" w:type="dxa"/>
            <w:vAlign w:val="center"/>
          </w:tcPr>
          <w:p>
            <w:pPr>
              <w:pStyle w:val="单元格样式4"/>
            </w:pPr>
          </w:p>
        </w:tc>
        <w:tc>
          <w:tcPr>
            <w:tcW w:w="2551" w:type="dxa"/>
            <w:vAlign w:val="center"/>
          </w:tcPr>
          <w:p>
            <w:pPr>
              <w:pStyle w:val="单元格样式4"/>
            </w:pPr>
            <w:r>
              <w:t xml:space="preserve">30.65</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1.84</w:t>
            </w:r>
          </w:p>
        </w:tc>
        <w:tc>
          <w:tcPr>
            <w:tcW w:w="2551" w:type="dxa"/>
            <w:vAlign w:val="center"/>
          </w:tcPr>
          <w:p>
            <w:pPr>
              <w:pStyle w:val="单元格样式4"/>
            </w:pPr>
          </w:p>
        </w:tc>
        <w:tc>
          <w:tcPr>
            <w:tcW w:w="2551" w:type="dxa"/>
            <w:vAlign w:val="center"/>
          </w:tcPr>
          <w:p>
            <w:pPr>
              <w:pStyle w:val="单元格样式4"/>
            </w:pPr>
            <w:r>
              <w:t xml:space="preserve">1.84</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188.06</w:t>
            </w:r>
          </w:p>
        </w:tc>
        <w:tc>
          <w:tcPr>
            <w:tcW w:w="2551" w:type="dxa"/>
            <w:vAlign w:val="center"/>
          </w:tcPr>
          <w:p>
            <w:pPr>
              <w:pStyle w:val="单元格样式4"/>
            </w:pPr>
            <w:r>
              <w:t xml:space="preserve">188.06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159.10</w:t>
            </w:r>
          </w:p>
        </w:tc>
        <w:tc>
          <w:tcPr>
            <w:tcW w:w="2551" w:type="dxa"/>
            <w:vAlign w:val="center"/>
          </w:tcPr>
          <w:p>
            <w:pPr>
              <w:pStyle w:val="单元格样式4"/>
            </w:pPr>
            <w:r>
              <w:t xml:space="preserve">159.10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28.84</w:t>
            </w:r>
          </w:p>
        </w:tc>
        <w:tc>
          <w:tcPr>
            <w:tcW w:w="2551" w:type="dxa"/>
            <w:vAlign w:val="center"/>
          </w:tcPr>
          <w:p>
            <w:pPr>
              <w:pStyle w:val="单元格样式4"/>
            </w:pPr>
            <w:r>
              <w:t xml:space="preserve">28.84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0.12</w:t>
            </w:r>
          </w:p>
        </w:tc>
        <w:tc>
          <w:tcPr>
            <w:tcW w:w="2551" w:type="dxa"/>
            <w:vAlign w:val="center"/>
          </w:tcPr>
          <w:p>
            <w:pPr>
              <w:pStyle w:val="单元格样式4"/>
            </w:pPr>
            <w:r>
              <w:t xml:space="preserve">0.12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2.29</w:t>
            </w:r>
          </w:p>
        </w:tc>
        <w:tc>
          <w:tcPr>
            <w:tcW w:w="2381" w:type="dxa"/>
            <w:vAlign w:val="center"/>
          </w:tcPr>
          <w:p>
            <w:pPr>
              <w:pStyle w:val="单元格样式7"/>
            </w:pPr>
            <w:r>
              <w:t xml:space="preserve">2.29</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2.29</w:t>
            </w:r>
          </w:p>
        </w:tc>
        <w:tc>
          <w:tcPr>
            <w:tcW w:w="2381" w:type="dxa"/>
            <w:vAlign w:val="center"/>
          </w:tcPr>
          <w:p>
            <w:pPr>
              <w:pStyle w:val="单元格样式4"/>
            </w:pPr>
            <w:r>
              <w:t xml:space="preserve">2.29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2.29</w:t>
            </w:r>
          </w:p>
        </w:tc>
        <w:tc>
          <w:tcPr>
            <w:tcW w:w="2381" w:type="dxa"/>
            <w:vAlign w:val="center"/>
          </w:tcPr>
          <w:p>
            <w:pPr>
              <w:pStyle w:val="单元格样式4"/>
            </w:pPr>
            <w:r>
              <w:t xml:space="preserve">2.29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2.29</w:t>
            </w:r>
          </w:p>
        </w:tc>
        <w:tc>
          <w:tcPr>
            <w:tcW w:w="2381" w:type="dxa"/>
            <w:vAlign w:val="center"/>
          </w:tcPr>
          <w:p>
            <w:pPr>
              <w:pStyle w:val="单元格样式4"/>
            </w:pPr>
            <w:r>
              <w:t xml:space="preserve">2.29</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唐山市路南区人民检察院2026年部门预算信息公开情况说明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唐山市路南区人民检察院2026年部门预算信息公开情况说明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按照《中华人民共和国预算法》、《地方预决算公开操作规程》和《关于进一步推进预算公开工作的实施意见》规定，现将唐山市路南区人民检察院2026年部门预算公开如下：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根据《唐山市路南区人民检察院职能配置、内设机构和人员编制规定》，唐山市路南区人民检察院的主要职责是：</w:t>
      </w:r>
    </w:p>
    <w:p>
      <w:pPr>
        <w:pStyle w:val="插入文本样式-插入预算公开部门职责文件"/>
      </w:pPr>
      <w:r>
        <w:t xml:space="preserve">根据《唐山市路南区人民检察院职能配置、内设机构和人员编制规定》，唐山市路南区人民检察院的主要职责是：</w:t>
      </w:r>
    </w:p>
    <w:p>
      <w:pPr>
        <w:pStyle w:val="插入文本样式-插入预算公开部门职责文件"/>
      </w:pPr>
      <w:r>
        <w:t xml:space="preserve">依法惩治刑事犯罪，监督行政机关依法行政，促进社会和谐，维护社会稳定，服务全区工作大局，发挥服务保障职能。积极推进执行工作，切实保障群众合法权益，维护社会公平正义。检查监督，通过行驶检察权，惩罚犯罪活动，保护国家安全，保护公民、法人、其他组织和合法权益，保障国家法律的正确实施。</w:t>
      </w:r>
    </w:p>
    <w:p>
      <w:pPr>
        <w:pStyle w:val="插入文本样式-插入预算公开部门职责文件"/>
      </w:pPr>
      <w:r>
        <w:t xml:space="preserve">对侦查机关的侦查活动，审判机关的审判活动，监狱看守所等机关执行刑罚的活动，依法实行法律监督，维护司法公正。组织和指导全区控申部门受理来信来访、举报、刑事申诉、国家赔偿、司法救助工作，受理民事监督案件，办理区院管辖的信访、举报案件、刑事申诉案件、国家赔偿、司法救助案件以及上级机关交办、转办、督办案件。承担系统综合业务管理和综合事务管理工作。保护公民、法人和其他单位的合法权益，促进司法公正，维护社会稳定。</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唐山市路南区人民检察院本级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按照预算管理有关规定，目前部门预算的编制实行综合预算管理，即全部收入和支出都反映在预算中。唐山市路南区人民检察院机关及所属事业单位的收支包含在部门预算中。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1786.14万元，其中：一般公共预算收入1768.14万元，基金预算收入0.00万元，国有资本经营预算收入0.00万元，财政专户核拨收入0.00万元，单位资金收入0.00万元，上年结转结余18.00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唐山市路南区人民检察院年度部门预算中支出预算的总体情况。2026年支出预算1786.14万元，其中基本支出1602.65万元，包括人员经费1492.49万元和日常公用经费110.16万元；项目支出183.49万元，主要为专项公用经费165.49万元、专项项目经费18万元（结转上年上级专款18万元）。；预计下年使用的单位资金结余0.00万元。委托业务费共计安排6.50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1786.14万元，较2025年预算增加122.74万元，其中：基本支出增加88.01万元，主要为人员变动情况导致人员经费增加。项目支出增加34.73万元，主要为检察业务费比上年增加、劳务费人员及保险部分增加。。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总体绩效目标：</w:t>
      </w:r>
    </w:p>
    <w:p>
      <w:pPr>
        <w:pStyle w:val="插入文本样式-插入总体目标文件"/>
      </w:pPr>
      <w:r>
        <w:t xml:space="preserve">唐山市路南区人民检察院主要通过加强执法规范化标准化建设，使执法规程更加明确，执法标准细化到每个执法环节、执法岗位，坚持司法公正，实行司法公开。2026年工作目标：</w:t>
      </w:r>
    </w:p>
    <w:p>
      <w:pPr>
        <w:pStyle w:val="插入文本样式-插入总体目标文件"/>
      </w:pPr>
      <w:r>
        <w:t xml:space="preserve">（一）以营造风清气正的法治环境为目标，深入开展犯罪预防工作，深化未成年人犯罪预防工作，狠抓惩治预防犯罪，全力巩固执政之基；</w:t>
      </w:r>
    </w:p>
    <w:p>
      <w:pPr>
        <w:pStyle w:val="插入文本样式-插入总体目标文件"/>
      </w:pPr>
      <w:r>
        <w:t xml:space="preserve">（二）以营造和谐稳定的社会环境为目标，对路南区内各类刑事案件依法审查批准逮捕、决定逮捕、提起公诉，严厉打击严重刑事犯罪；</w:t>
      </w:r>
    </w:p>
    <w:p>
      <w:pPr>
        <w:pStyle w:val="插入文本样式-插入总体目标文件"/>
      </w:pPr>
      <w:r>
        <w:t xml:space="preserve">（三）以营造公平正义的司法环境为目标，严抓应由本院承办的刑事、民事、行政诉讼、公益诉讼活动及刑事、民事、行政判决和裁定等生效法律文书执行的法律监督工作；</w:t>
      </w:r>
    </w:p>
    <w:p>
      <w:pPr>
        <w:pStyle w:val="插入文本样式-插入总体目标文件"/>
      </w:pPr>
      <w:r>
        <w:t xml:space="preserve">（四）以服务中心提高执法公信力为目标，加强本院检务保障以及检察技术、信息化建设工作，稳步加强检察队伍建设，夯实检察立院之本。</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二分项绩效目标：</w:t>
      </w:r>
    </w:p>
    <w:p>
      <w:pPr>
        <w:pStyle w:val="插入文本样式-插入职责分类绩效目标文件"/>
      </w:pPr>
      <w:r>
        <w:t xml:space="preserve">（一）做好检察监督工作</w:t>
      </w:r>
    </w:p>
    <w:p>
      <w:pPr>
        <w:pStyle w:val="插入文本样式-插入职责分类绩效目标文件"/>
      </w:pPr>
      <w:r>
        <w:t xml:space="preserve">绩效目标：对侦查机关的侦查活动、人民法院的审判活动、监狱看守所等机关执行刑罚的   活动，依法实行法律监督，维护司法公正。通过刑事检察权，惩罚犯罪活动，保护国家安全，保护公民、法人和其他组织的合法权益。</w:t>
      </w:r>
    </w:p>
    <w:p>
      <w:pPr>
        <w:pStyle w:val="插入文本样式-插入职责分类绩效目标文件"/>
      </w:pPr>
      <w:r>
        <w:t xml:space="preserve">绩效指标：完成抗诉率≥1.54%</w:t>
      </w:r>
    </w:p>
    <w:p>
      <w:pPr>
        <w:pStyle w:val="插入文本样式-插入职责分类绩效目标文件"/>
      </w:pPr>
      <w:r>
        <w:t xml:space="preserve">完成公诉率≥91.1%</w:t>
      </w:r>
    </w:p>
    <w:p>
      <w:pPr>
        <w:pStyle w:val="插入文本样式-插入职责分类绩效目标文件"/>
      </w:pPr>
      <w:r>
        <w:t xml:space="preserve">完成错误批捕率≤1.8%</w:t>
      </w:r>
    </w:p>
    <w:p>
      <w:pPr>
        <w:pStyle w:val="插入文本样式-插入职责分类绩效目标文件"/>
      </w:pPr>
      <w:r>
        <w:t xml:space="preserve">（二）做好控告和刑事申诉检察工作</w:t>
      </w:r>
    </w:p>
    <w:p>
      <w:pPr>
        <w:pStyle w:val="插入文本样式-插入职责分类绩效目标文件"/>
      </w:pPr>
      <w:r>
        <w:t xml:space="preserve">绩效目标：保护公民、法人和其他单位的合法权益，促进司法公正，维护社会稳定。构建依法有序信访秩序，及时依法解决群众诉求；加强和改进举报工作，保护申诉人合法权益，保护被赔偿人和被救助人合法权益。</w:t>
      </w:r>
    </w:p>
    <w:p>
      <w:pPr>
        <w:pStyle w:val="插入文本样式-插入职责分类绩效目标文件"/>
      </w:pPr>
      <w:r>
        <w:t xml:space="preserve">绩效指标：涉检信访案件办结率100%；</w:t>
      </w:r>
    </w:p>
    <w:p>
      <w:pPr>
        <w:pStyle w:val="插入文本样式-插入职责分类绩效目标文件"/>
      </w:pPr>
      <w:r>
        <w:t xml:space="preserve">举报、信访处理结果满意率≧96%；</w:t>
      </w:r>
    </w:p>
    <w:p>
      <w:pPr>
        <w:pStyle w:val="插入文本样式-插入职责分类绩效目标文件"/>
      </w:pPr>
      <w:r>
        <w:t xml:space="preserve">国家赔偿案件办结率100%；</w:t>
      </w:r>
    </w:p>
    <w:p>
      <w:pPr>
        <w:pStyle w:val="插入文本样式-插入职责分类绩效目标文件"/>
      </w:pPr>
      <w:r>
        <w:t xml:space="preserve">息诉罢访率≧97%；</w:t>
      </w:r>
    </w:p>
    <w:p>
      <w:pPr>
        <w:pStyle w:val="插入文本样式-插入职责分类绩效目标文件"/>
      </w:pPr>
      <w:r>
        <w:t xml:space="preserve">(三)做好检察事务管理工作</w:t>
      </w:r>
    </w:p>
    <w:p>
      <w:pPr>
        <w:pStyle w:val="插入文本样式-插入职责分类绩效目标文件"/>
      </w:pPr>
      <w:r>
        <w:t xml:space="preserve">绩效目标：承担系统综合业务管理和综合事务管理工作，确保全年各项检察工作圆满完成；提高执法水平和办案质量、提升检察机关法律监督能力；为检察工作顺利开展提供检务保障。</w:t>
      </w:r>
    </w:p>
    <w:p>
      <w:pPr>
        <w:pStyle w:val="插入文本样式-插入职责分类绩效目标文件"/>
      </w:pPr>
      <w:r>
        <w:t xml:space="preserve">绩效指标：检务保障干警满意度90%以上。</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工作保障措施：</w:t>
      </w:r>
    </w:p>
    <w:p>
      <w:pPr>
        <w:pStyle w:val="插入文本样式-插入实现年度发展规划目标的保障措施文件"/>
      </w:pPr>
      <w:r>
        <w:t xml:space="preserve">（一）坚持理性平和文明规范办案。坚持“全院一盘棋”工作机制，发挥检察官团队优势。依托信息化检察，加大投入力度，提升现代化办案水平，努力实现检察办案工作由“经验型”向“智能型”、“科技型”转变。</w:t>
      </w:r>
    </w:p>
    <w:p>
      <w:pPr>
        <w:pStyle w:val="插入文本样式-插入实现年度发展规划目标的保障措施文件"/>
      </w:pPr>
      <w:r>
        <w:t xml:space="preserve">（二）深化未成年人犯罪预防工作。进一步丰富“六个一工程”的活动内容、创新载体，在青少年犯罪教育、感化、挽救上打造精品案例，总结经典经验，创出特色，以更大成效争取上级机关的认可，全力争创全国优秀“青少年维权岗”。</w:t>
      </w:r>
    </w:p>
    <w:p>
      <w:pPr>
        <w:pStyle w:val="插入文本样式-插入实现年度发展规划目标的保障措施文件"/>
      </w:pPr>
      <w:r>
        <w:t xml:space="preserve">（三）依法加强各类监督。加强立案监督和侦查活动监督、刑事审判监督、刑事执行监督，深化民事诉讼活动监督，探索对行政权力的制约和监督。</w:t>
      </w:r>
    </w:p>
    <w:p>
      <w:pPr>
        <w:pStyle w:val="插入文本样式-插入实现年度发展规划目标的保障措施文件"/>
      </w:pPr>
      <w:r>
        <w:t xml:space="preserve">（四）完善制度建设，制定完善预算绩效管理制度、资金管理办法、工作保障制度等，为全年预算绩效目标的实现奠定制度基础。贯彻落实中共中央有关经费保障的政策措施。近年来，中央陆续下发了《中共中央转发〈中央政法委员会关于深化司法体制和工作机制改革若干问题的意见〉的通知》、《中共中央办公厅、国务院办公厅〈关于加强政法经费保障工作的意见〉的通知》、《国家发展和改革委员会关于进一步加强地方政法基础设施建设规范投资保障机制的意见》、《十二五时期检察计财装备发展规划》等一系列文件，专门就完善检务保障工作提出了一系列政策措施，为检察机关进一步建立和完善经费保障机制，更好地争取地方财政支持提供了有利条件。</w:t>
      </w:r>
    </w:p>
    <w:p>
      <w:pPr>
        <w:pStyle w:val="插入文本样式-插入实现年度发展规划目标的保障措施文件"/>
      </w:pPr>
      <w:r>
        <w:t xml:space="preserve">（五）加强支出管理。通过优化支出结构、编细编实预算、加快履行政府采购手续、尽快启动项目、及时支付资金、6月底前细化代编预算、按规定及时下达资金等多种措施，确保支出进度达标。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（六）加强绩效运行监控。按要求开展绩效运行监控，发现问题及时采取措施，确保绩效目标如期保质实现。</w:t>
      </w:r>
    </w:p>
    <w:p>
      <w:pPr>
        <w:pStyle w:val="插入文本样式-插入实现年度发展规划目标的保障措施文件"/>
      </w:pPr>
      <w:r>
        <w:t xml:space="preserve">（七）做好绩效自评。按要求开展上年度部门预算绩效自评和重点评价工作，对评价中发现的问题及时整改，调整优化支出结构，提高财政资金使用效益。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（八）规范财务资产管理。完善财务管理制度，严格审批程序，加强固定资产登记、使用和报废处置管理，做到支出合理，物尽其用。</w:t>
      </w:r>
    </w:p>
    <w:p>
      <w:pPr>
        <w:pStyle w:val="插入文本样式-插入实现年度发展规划目标的保障措施文件"/>
      </w:pPr>
      <w:r>
        <w:t xml:space="preserve">（九）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十）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1、后勤保障经费绩效目标表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13020026P00684114791L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后勤保障经费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使用后勤保障专项经费，保障单位业务开展。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1.做好后勤保障经费专项支出，保障单位业务开展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保障的机关干警及工作人员数量</w:t>
            </w:r>
          </w:p>
        </w:tc>
        <w:tc>
          <w:tcPr>
            <w:tcW w:w="5386" w:type="dxa"/>
            <w:vAlign w:val="center"/>
          </w:tcPr>
          <w:p>
            <w:pPr>
              <w:pStyle w:val="单元格样式2"/>
            </w:pPr>
            <w:r>
              <w:t xml:space="preserve">保障的机关干警及工作人员数量</w:t>
            </w:r>
          </w:p>
        </w:tc>
        <w:tc>
          <w:tcPr>
            <w:tcW w:w="2268" w:type="dxa"/>
            <w:vAlign w:val="center"/>
          </w:tcPr>
          <w:p>
            <w:pPr>
              <w:pStyle w:val="单元格样式2"/>
            </w:pPr>
            <w:r>
              <w:t xml:space="preserve">≥110人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购置的后勤保障服务及用品合格率</w:t>
            </w:r>
          </w:p>
        </w:tc>
        <w:tc>
          <w:tcPr>
            <w:tcW w:w="5386" w:type="dxa"/>
            <w:vAlign w:val="center"/>
          </w:tcPr>
          <w:p>
            <w:pPr>
              <w:pStyle w:val="单元格样式2"/>
            </w:pPr>
            <w:r>
              <w:t xml:space="preserve">购置的后勤保障服务及用品合格率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后勤保障经费利用的及时性</w:t>
            </w:r>
          </w:p>
        </w:tc>
        <w:tc>
          <w:tcPr>
            <w:tcW w:w="5386" w:type="dxa"/>
            <w:vAlign w:val="center"/>
          </w:tcPr>
          <w:p>
            <w:pPr>
              <w:pStyle w:val="单元格样式2"/>
            </w:pPr>
            <w:r>
              <w:t xml:space="preserve">按时间节点完成工作情况</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经费支出平均月成本</w:t>
            </w:r>
          </w:p>
        </w:tc>
        <w:tc>
          <w:tcPr>
            <w:tcW w:w="5386" w:type="dxa"/>
            <w:vAlign w:val="center"/>
          </w:tcPr>
          <w:p>
            <w:pPr>
              <w:pStyle w:val="单元格样式2"/>
            </w:pPr>
            <w:r>
              <w:t xml:space="preserve">经费支出平均月成本</w:t>
            </w:r>
          </w:p>
        </w:tc>
        <w:tc>
          <w:tcPr>
            <w:tcW w:w="2268" w:type="dxa"/>
            <w:vAlign w:val="center"/>
          </w:tcPr>
          <w:p>
            <w:pPr>
              <w:pStyle w:val="单元格样式2"/>
            </w:pPr>
            <w:r>
              <w:t xml:space="preserve">≤2.5万元每月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后勤综合保障力提升率</w:t>
            </w:r>
          </w:p>
        </w:tc>
        <w:tc>
          <w:tcPr>
            <w:tcW w:w="5386" w:type="dxa"/>
            <w:vAlign w:val="center"/>
          </w:tcPr>
          <w:p>
            <w:pPr>
              <w:pStyle w:val="单元格样式2"/>
            </w:pPr>
            <w:r>
              <w:t xml:space="preserve">后勤综合保障力提升率</w:t>
            </w:r>
          </w:p>
        </w:tc>
        <w:tc>
          <w:tcPr>
            <w:tcW w:w="2268" w:type="dxa"/>
            <w:vAlign w:val="center"/>
          </w:tcPr>
          <w:p>
            <w:pPr>
              <w:pStyle w:val="单元格样式2"/>
            </w:pPr>
            <w:r>
              <w:t xml:space="preserve">≥10%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干警及工作人员综合满意度</w:t>
            </w:r>
          </w:p>
        </w:tc>
        <w:tc>
          <w:tcPr>
            <w:tcW w:w="5386" w:type="dxa"/>
            <w:vAlign w:val="center"/>
          </w:tcPr>
          <w:p>
            <w:pPr>
              <w:pStyle w:val="单元格样式2"/>
            </w:pPr>
            <w:r>
              <w:t xml:space="preserve">调查问卷统计干警及工作人员综合满意度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2、检察业务费绩效目标表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13020026P006841147882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检察业务费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19.27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19.27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使用检察业务费专项经费，保障单位业务开展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1.做好专项支出，保障单位业务开展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检察机关办理各类案件数量</w:t>
            </w:r>
          </w:p>
        </w:tc>
        <w:tc>
          <w:tcPr>
            <w:tcW w:w="5386" w:type="dxa"/>
            <w:vAlign w:val="center"/>
          </w:tcPr>
          <w:p>
            <w:pPr>
              <w:pStyle w:val="单元格样式2"/>
            </w:pPr>
            <w:r>
              <w:t xml:space="preserve">检察机关办理各类案件数量</w:t>
            </w:r>
          </w:p>
        </w:tc>
        <w:tc>
          <w:tcPr>
            <w:tcW w:w="2268" w:type="dxa"/>
            <w:vAlign w:val="center"/>
          </w:tcPr>
          <w:p>
            <w:pPr>
              <w:pStyle w:val="单元格样式2"/>
            </w:pPr>
            <w:r>
              <w:t xml:space="preserve">≥500件</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办案审结准确率</w:t>
            </w:r>
          </w:p>
        </w:tc>
        <w:tc>
          <w:tcPr>
            <w:tcW w:w="5386" w:type="dxa"/>
            <w:vAlign w:val="center"/>
          </w:tcPr>
          <w:p>
            <w:pPr>
              <w:pStyle w:val="单元格样式2"/>
            </w:pPr>
            <w:r>
              <w:t xml:space="preserve">办案审结准确率</w:t>
            </w:r>
          </w:p>
        </w:tc>
        <w:tc>
          <w:tcPr>
            <w:tcW w:w="2268" w:type="dxa"/>
            <w:vAlign w:val="center"/>
          </w:tcPr>
          <w:p>
            <w:pPr>
              <w:pStyle w:val="单元格样式2"/>
            </w:pPr>
            <w:r>
              <w:t xml:space="preserve">≥99%</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检察业务费支出的及时率</w:t>
            </w:r>
          </w:p>
        </w:tc>
        <w:tc>
          <w:tcPr>
            <w:tcW w:w="5386" w:type="dxa"/>
            <w:vAlign w:val="center"/>
          </w:tcPr>
          <w:p>
            <w:pPr>
              <w:pStyle w:val="单元格样式2"/>
            </w:pPr>
            <w:r>
              <w:t xml:space="preserve">按时间节点完成工作情况</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项目平均成本</w:t>
            </w:r>
          </w:p>
        </w:tc>
        <w:tc>
          <w:tcPr>
            <w:tcW w:w="5386" w:type="dxa"/>
            <w:vAlign w:val="center"/>
          </w:tcPr>
          <w:p>
            <w:pPr>
              <w:pStyle w:val="单元格样式2"/>
            </w:pPr>
            <w:r>
              <w:t xml:space="preserve">项目平均成本</w:t>
            </w:r>
          </w:p>
        </w:tc>
        <w:tc>
          <w:tcPr>
            <w:tcW w:w="2268" w:type="dxa"/>
            <w:vAlign w:val="center"/>
          </w:tcPr>
          <w:p>
            <w:pPr>
              <w:pStyle w:val="单元格样式2"/>
            </w:pPr>
            <w:r>
              <w:t xml:space="preserve">≤1.61万元每月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相关领域违法案件发生下降率</w:t>
            </w:r>
          </w:p>
        </w:tc>
        <w:tc>
          <w:tcPr>
            <w:tcW w:w="5386" w:type="dxa"/>
            <w:vAlign w:val="center"/>
          </w:tcPr>
          <w:p>
            <w:pPr>
              <w:pStyle w:val="单元格样式2"/>
            </w:pPr>
            <w:r>
              <w:t xml:space="preserve">相关领域违法案件发生下降率</w:t>
            </w:r>
          </w:p>
        </w:tc>
        <w:tc>
          <w:tcPr>
            <w:tcW w:w="2268" w:type="dxa"/>
            <w:vAlign w:val="center"/>
          </w:tcPr>
          <w:p>
            <w:pPr>
              <w:pStyle w:val="单元格样式2"/>
            </w:pPr>
            <w:r>
              <w:t xml:space="preserve">≥10%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社会群众对检察机关的满意度</w:t>
            </w:r>
          </w:p>
        </w:tc>
        <w:tc>
          <w:tcPr>
            <w:tcW w:w="5386" w:type="dxa"/>
            <w:vAlign w:val="center"/>
          </w:tcPr>
          <w:p>
            <w:pPr>
              <w:pStyle w:val="单元格样式2"/>
            </w:pPr>
            <w:r>
              <w:t xml:space="preserve">通过调查问卷统计社会群众对检察机关的满意度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3、劳务费绩效目标表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13020026P00684114789M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劳务费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109.48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109.48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使用劳务费专项指出，保障单位业务开展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1.做好劳务费专项支出，保障单位业务开展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保障的劳务派遣及物业保安人员数量</w:t>
            </w:r>
          </w:p>
        </w:tc>
        <w:tc>
          <w:tcPr>
            <w:tcW w:w="5386" w:type="dxa"/>
            <w:vAlign w:val="center"/>
          </w:tcPr>
          <w:p>
            <w:pPr>
              <w:pStyle w:val="单元格样式2"/>
            </w:pPr>
            <w:r>
              <w:t xml:space="preserve">保障的劳务派遣及物业保安人员数量</w:t>
            </w:r>
          </w:p>
        </w:tc>
        <w:tc>
          <w:tcPr>
            <w:tcW w:w="2268" w:type="dxa"/>
            <w:vAlign w:val="center"/>
          </w:tcPr>
          <w:p>
            <w:pPr>
              <w:pStyle w:val="单元格样式2"/>
            </w:pPr>
            <w:r>
              <w:t xml:space="preserve">27人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劳务派遣及物业保安人员出勤率</w:t>
            </w:r>
          </w:p>
        </w:tc>
        <w:tc>
          <w:tcPr>
            <w:tcW w:w="5386" w:type="dxa"/>
            <w:vAlign w:val="center"/>
          </w:tcPr>
          <w:p>
            <w:pPr>
              <w:pStyle w:val="单元格样式2"/>
            </w:pPr>
            <w:r>
              <w:t xml:space="preserve">劳务派遣及物业保安人员出勤率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劳务派遣及物业保安人员工资支付及时率</w:t>
            </w:r>
          </w:p>
        </w:tc>
        <w:tc>
          <w:tcPr>
            <w:tcW w:w="5386" w:type="dxa"/>
            <w:vAlign w:val="center"/>
          </w:tcPr>
          <w:p>
            <w:pPr>
              <w:pStyle w:val="单元格样式2"/>
            </w:pPr>
            <w:r>
              <w:t xml:space="preserve">劳务派遣及物业保安人员工资支付及时率</w:t>
            </w:r>
          </w:p>
        </w:tc>
        <w:tc>
          <w:tcPr>
            <w:tcW w:w="2268" w:type="dxa"/>
            <w:vAlign w:val="center"/>
          </w:tcPr>
          <w:p>
            <w:pPr>
              <w:pStyle w:val="单元格样式2"/>
            </w:pPr>
            <w:r>
              <w:t xml:space="preserve">≥98%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劳务派遣及物业保安人员劳务费品均成本</w:t>
            </w:r>
          </w:p>
        </w:tc>
        <w:tc>
          <w:tcPr>
            <w:tcW w:w="5386" w:type="dxa"/>
            <w:vAlign w:val="center"/>
          </w:tcPr>
          <w:p>
            <w:pPr>
              <w:pStyle w:val="单元格样式2"/>
            </w:pPr>
            <w:r>
              <w:t xml:space="preserve">劳务派遣及物业保安人员劳务费品均成本</w:t>
            </w:r>
          </w:p>
        </w:tc>
        <w:tc>
          <w:tcPr>
            <w:tcW w:w="2268" w:type="dxa"/>
            <w:vAlign w:val="center"/>
          </w:tcPr>
          <w:p>
            <w:pPr>
              <w:pStyle w:val="单元格样式2"/>
            </w:pPr>
            <w:r>
              <w:t xml:space="preserve">≤4.06万元每人每年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人员稳定率</w:t>
            </w:r>
          </w:p>
        </w:tc>
        <w:tc>
          <w:tcPr>
            <w:tcW w:w="5386" w:type="dxa"/>
            <w:vAlign w:val="center"/>
          </w:tcPr>
          <w:p>
            <w:pPr>
              <w:pStyle w:val="单元格样式2"/>
            </w:pPr>
            <w:r>
              <w:t xml:space="preserve">人员稳定率=稳定人员人数/年末在职人员数量</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发放劳务费人员满意度</w:t>
            </w:r>
          </w:p>
        </w:tc>
        <w:tc>
          <w:tcPr>
            <w:tcW w:w="5386" w:type="dxa"/>
            <w:vAlign w:val="center"/>
          </w:tcPr>
          <w:p>
            <w:pPr>
              <w:pStyle w:val="单元格样式2"/>
            </w:pPr>
            <w:r>
              <w:t xml:space="preserve">通过调查问卷统计发放劳务费人员满意度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4、通讯服务费绩效目标表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13020026P00684114794F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通讯服务费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6.74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6.74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使用通讯服务费专项经费，保障单位工作开展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1.做好通讯服务费专项支出，保障单位工作开展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保障的机关干警及工作人员数量</w:t>
            </w:r>
          </w:p>
        </w:tc>
        <w:tc>
          <w:tcPr>
            <w:tcW w:w="5386" w:type="dxa"/>
            <w:vAlign w:val="center"/>
          </w:tcPr>
          <w:p>
            <w:pPr>
              <w:pStyle w:val="单元格样式2"/>
            </w:pPr>
            <w:r>
              <w:t xml:space="preserve">保障的机关干警及工作人员数量</w:t>
            </w:r>
          </w:p>
        </w:tc>
        <w:tc>
          <w:tcPr>
            <w:tcW w:w="2268" w:type="dxa"/>
            <w:vAlign w:val="center"/>
          </w:tcPr>
          <w:p>
            <w:pPr>
              <w:pStyle w:val="单元格样式2"/>
            </w:pPr>
            <w:r>
              <w:t xml:space="preserve">≥110人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通讯服务费支出率</w:t>
            </w:r>
          </w:p>
        </w:tc>
        <w:tc>
          <w:tcPr>
            <w:tcW w:w="5386" w:type="dxa"/>
            <w:vAlign w:val="center"/>
          </w:tcPr>
          <w:p>
            <w:pPr>
              <w:pStyle w:val="单元格样式2"/>
            </w:pPr>
            <w:r>
              <w:t xml:space="preserve">通讯服务费支出率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通讯服务费利用的及时性</w:t>
            </w:r>
          </w:p>
        </w:tc>
        <w:tc>
          <w:tcPr>
            <w:tcW w:w="5386" w:type="dxa"/>
            <w:vAlign w:val="center"/>
          </w:tcPr>
          <w:p>
            <w:pPr>
              <w:pStyle w:val="单元格样式2"/>
            </w:pPr>
            <w:r>
              <w:t xml:space="preserve">按月完成通讯服务费支出率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经费支出平均月成本</w:t>
            </w:r>
          </w:p>
        </w:tc>
        <w:tc>
          <w:tcPr>
            <w:tcW w:w="5386" w:type="dxa"/>
            <w:vAlign w:val="center"/>
          </w:tcPr>
          <w:p>
            <w:pPr>
              <w:pStyle w:val="单元格样式2"/>
            </w:pPr>
            <w:r>
              <w:t xml:space="preserve">经费支出平均月成本</w:t>
            </w:r>
          </w:p>
        </w:tc>
        <w:tc>
          <w:tcPr>
            <w:tcW w:w="2268" w:type="dxa"/>
            <w:vAlign w:val="center"/>
          </w:tcPr>
          <w:p>
            <w:pPr>
              <w:pStyle w:val="单元格样式2"/>
            </w:pPr>
            <w:r>
              <w:t xml:space="preserve">≤0.56万元每月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单位通讯正常运转率</w:t>
            </w:r>
          </w:p>
        </w:tc>
        <w:tc>
          <w:tcPr>
            <w:tcW w:w="5386" w:type="dxa"/>
            <w:vAlign w:val="center"/>
          </w:tcPr>
          <w:p>
            <w:pPr>
              <w:pStyle w:val="单元格样式2"/>
            </w:pPr>
            <w:r>
              <w:t xml:space="preserve">反映单位通讯正常运转的情况</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干警及工作人员满意度</w:t>
            </w:r>
          </w:p>
        </w:tc>
        <w:tc>
          <w:tcPr>
            <w:tcW w:w="5386" w:type="dxa"/>
            <w:vAlign w:val="center"/>
          </w:tcPr>
          <w:p>
            <w:pPr>
              <w:pStyle w:val="单元格样式2"/>
            </w:pPr>
            <w:r>
              <w:t xml:space="preserve">调查问卷统计干警及工作人员满意度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5、关于下达市县检察机关2025年中央政法转移支付资金的通知 业务装备费绩效目标表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13020025P000049100711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关于下达市县检察机关2025年中央政法转移支付资金的通知 业务装备费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涉密会议室建设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1.使用2025年中央政法转移支付资金支付业务装备费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按购置计划采购率</w:t>
            </w:r>
          </w:p>
        </w:tc>
        <w:tc>
          <w:tcPr>
            <w:tcW w:w="5386" w:type="dxa"/>
            <w:vAlign w:val="center"/>
          </w:tcPr>
          <w:p>
            <w:pPr>
              <w:pStyle w:val="单元格样式2"/>
            </w:pPr>
            <w:r>
              <w:t xml:space="preserve">按购置计划采购率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购置质量合格率</w:t>
            </w:r>
          </w:p>
        </w:tc>
        <w:tc>
          <w:tcPr>
            <w:tcW w:w="5386" w:type="dxa"/>
            <w:vAlign w:val="center"/>
          </w:tcPr>
          <w:p>
            <w:pPr>
              <w:pStyle w:val="单元格样式2"/>
            </w:pPr>
            <w:r>
              <w:t xml:space="preserve">购置质量合格率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设备购置按期完成率</w:t>
            </w:r>
          </w:p>
        </w:tc>
        <w:tc>
          <w:tcPr>
            <w:tcW w:w="5386" w:type="dxa"/>
            <w:vAlign w:val="center"/>
          </w:tcPr>
          <w:p>
            <w:pPr>
              <w:pStyle w:val="单元格样式2"/>
            </w:pPr>
            <w:r>
              <w:t xml:space="preserve">设备购置按期完成率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预算执行率</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维护社会稳定发展</w:t>
            </w:r>
          </w:p>
        </w:tc>
        <w:tc>
          <w:tcPr>
            <w:tcW w:w="5386" w:type="dxa"/>
            <w:vAlign w:val="center"/>
          </w:tcPr>
          <w:p>
            <w:pPr>
              <w:pStyle w:val="单元格样式2"/>
            </w:pPr>
            <w:r>
              <w:t xml:space="preserve">维护社会稳定发展</w:t>
            </w:r>
          </w:p>
        </w:tc>
        <w:tc>
          <w:tcPr>
            <w:tcW w:w="2268" w:type="dxa"/>
            <w:vAlign w:val="center"/>
          </w:tcPr>
          <w:p>
            <w:pPr>
              <w:pStyle w:val="单元格样式2"/>
            </w:pPr>
            <w:r>
              <w:t xml:space="preserve">能够维护社会稳定发展</w:t>
            </w:r>
          </w:p>
        </w:tc>
        <w:tc>
          <w:tcPr>
            <w:tcW w:w="1276" w:type="dxa"/>
            <w:vAlign w:val="center"/>
          </w:tcPr>
          <w:p>
            <w:pPr>
              <w:pStyle w:val="单元格样式2"/>
            </w:pPr>
            <w:r>
              <w:t xml:space="preserve">检察院职能</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干警满意度</w:t>
            </w:r>
          </w:p>
        </w:tc>
        <w:tc>
          <w:tcPr>
            <w:tcW w:w="5386" w:type="dxa"/>
            <w:vAlign w:val="center"/>
          </w:tcPr>
          <w:p>
            <w:pPr>
              <w:pStyle w:val="单元格样式2"/>
            </w:pPr>
            <w:r>
              <w:t xml:space="preserve">干警满意度</w:t>
            </w:r>
          </w:p>
        </w:tc>
        <w:tc>
          <w:tcPr>
            <w:tcW w:w="2268" w:type="dxa"/>
            <w:vAlign w:val="center"/>
          </w:tcPr>
          <w:p>
            <w:pPr>
              <w:pStyle w:val="单元格样式2"/>
            </w:pPr>
            <w:r>
              <w:t xml:space="preserve">≥90%</w:t>
            </w:r>
          </w:p>
        </w:tc>
        <w:tc>
          <w:tcPr>
            <w:tcW w:w="1276" w:type="dxa"/>
            <w:vAlign w:val="center"/>
          </w:tcPr>
          <w:p>
            <w:pPr>
              <w:pStyle w:val="单元格样式2"/>
            </w:pPr>
            <w:r>
              <w:t xml:space="preserve">检察院职能</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41.55</w:t>
            </w:r>
          </w:p>
        </w:tc>
        <w:tc>
          <w:tcPr>
            <w:tcW w:w="964" w:type="dxa"/>
            <w:vAlign w:val="center"/>
          </w:tcPr>
          <w:p>
            <w:pPr>
              <w:pStyle w:val="单元格样式7"/>
            </w:pPr>
            <w:r>
              <w:t xml:space="preserve">41.55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41.55</w:t>
            </w:r>
          </w:p>
        </w:tc>
      </w:tr>
      <w:tr>
        <w:tblPrEx>
          <w:jc w:val="center"/>
          <w:tblLayout w:type="fixed"/>
        </w:tblPrEx>
        <w:trPr>
          <w:jc w:val="center"/>
        </w:trPr>
        <w:tc>
          <w:tcPr>
            <w:tcW w:w="1701" w:type="dxa"/>
            <w:vAlign w:val="center"/>
          </w:tcPr>
          <w:p>
            <w:pPr>
              <w:pStyle w:val="单元格样式6"/>
            </w:pPr>
            <w:r>
              <w:t xml:space="preserve">唐山市路南区人民检察院本级小计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41.55</w:t>
            </w:r>
          </w:p>
        </w:tc>
        <w:tc>
          <w:tcPr>
            <w:tcW w:w="964" w:type="dxa"/>
            <w:vAlign w:val="center"/>
          </w:tcPr>
          <w:p>
            <w:pPr>
              <w:pStyle w:val="单元格样式7"/>
            </w:pPr>
            <w:r>
              <w:t xml:space="preserve">41.55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41.55</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46.92</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46.92</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1.29</w:t>
            </w:r>
          </w:p>
        </w:tc>
        <w:tc>
          <w:tcPr>
            <w:tcW w:w="964" w:type="dxa"/>
            <w:vAlign w:val="center"/>
          </w:tcPr>
          <w:p>
            <w:pPr>
              <w:pStyle w:val="单元格样式4"/>
            </w:pPr>
            <w:r>
              <w:t xml:space="preserve">1.29</w:t>
            </w:r>
          </w:p>
        </w:tc>
        <w:tc>
          <w:tcPr>
            <w:tcW w:w="964" w:type="dxa"/>
            <w:vAlign w:val="center"/>
          </w:tcPr>
          <w:p>
            <w:pPr>
              <w:pStyle w:val="单元格样式4"/>
            </w:pPr>
            <w:r>
              <w:t xml:space="preserve">1.29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1.29</w:t>
            </w:r>
          </w:p>
        </w:tc>
      </w:tr>
      <w:tr>
        <w:tblPrEx>
          <w:jc w:val="center"/>
          <w:tblLayout w:type="fixed"/>
        </w:tblPrEx>
        <w:trPr>
          <w:jc w:val="center"/>
        </w:trPr>
        <w:tc>
          <w:tcPr>
            <w:tcW w:w="1701" w:type="dxa"/>
            <w:vAlign w:val="center"/>
          </w:tcPr>
          <w:p>
            <w:pPr>
              <w:pStyle w:val="单元格样式2"/>
            </w:pPr>
            <w:r>
              <w:t xml:space="preserve">检察业务费</w:t>
            </w:r>
          </w:p>
        </w:tc>
        <w:tc>
          <w:tcPr>
            <w:tcW w:w="964" w:type="dxa"/>
            <w:vAlign w:val="center"/>
          </w:tcPr>
          <w:p>
            <w:pPr>
              <w:pStyle w:val="单元格样式4"/>
            </w:pPr>
            <w:r>
              <w:t xml:space="preserve">19.27</w:t>
            </w:r>
          </w:p>
        </w:tc>
        <w:tc>
          <w:tcPr>
            <w:tcW w:w="1134" w:type="dxa"/>
            <w:vAlign w:val="center"/>
          </w:tcPr>
          <w:p>
            <w:pPr>
              <w:pStyle w:val="单元格样式2"/>
            </w:pPr>
            <w:r>
              <w:t xml:space="preserve">其他运行维护服务</w:t>
            </w:r>
          </w:p>
        </w:tc>
        <w:tc>
          <w:tcPr>
            <w:tcW w:w="1134" w:type="dxa"/>
            <w:vAlign w:val="center"/>
          </w:tcPr>
          <w:p>
            <w:pPr>
              <w:pStyle w:val="单元格样式2"/>
            </w:pPr>
            <w:r>
              <w:t xml:space="preserve">C16079900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6.50</w:t>
            </w:r>
          </w:p>
        </w:tc>
        <w:tc>
          <w:tcPr>
            <w:tcW w:w="964" w:type="dxa"/>
            <w:vAlign w:val="center"/>
          </w:tcPr>
          <w:p>
            <w:pPr>
              <w:pStyle w:val="单元格样式4"/>
            </w:pPr>
            <w:r>
              <w:t xml:space="preserve">6.50</w:t>
            </w:r>
          </w:p>
        </w:tc>
        <w:tc>
          <w:tcPr>
            <w:tcW w:w="964" w:type="dxa"/>
            <w:vAlign w:val="center"/>
          </w:tcPr>
          <w:p>
            <w:pPr>
              <w:pStyle w:val="单元格样式4"/>
            </w:pPr>
            <w:r>
              <w:t xml:space="preserve">6.50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6.50</w:t>
            </w:r>
          </w:p>
        </w:tc>
      </w:tr>
      <w:tr>
        <w:tblPrEx>
          <w:jc w:val="center"/>
          <w:tblLayout w:type="fixed"/>
        </w:tblPrEx>
        <w:trPr>
          <w:jc w:val="center"/>
        </w:trPr>
        <w:tc>
          <w:tcPr>
            <w:tcW w:w="1701" w:type="dxa"/>
            <w:vAlign w:val="center"/>
          </w:tcPr>
          <w:p>
            <w:pPr>
              <w:pStyle w:val="单元格样式2"/>
            </w:pPr>
            <w:r>
              <w:t xml:space="preserve">劳务费</w:t>
            </w:r>
          </w:p>
        </w:tc>
        <w:tc>
          <w:tcPr>
            <w:tcW w:w="964" w:type="dxa"/>
            <w:vAlign w:val="center"/>
          </w:tcPr>
          <w:p>
            <w:pPr>
              <w:pStyle w:val="单元格样式4"/>
            </w:pPr>
            <w:r>
              <w:t xml:space="preserve">109.48</w:t>
            </w:r>
          </w:p>
        </w:tc>
        <w:tc>
          <w:tcPr>
            <w:tcW w:w="1134" w:type="dxa"/>
            <w:vAlign w:val="center"/>
          </w:tcPr>
          <w:p>
            <w:pPr>
              <w:pStyle w:val="单元格样式2"/>
            </w:pPr>
            <w:r>
              <w:t xml:space="preserve">保安服务</w:t>
            </w:r>
          </w:p>
        </w:tc>
        <w:tc>
          <w:tcPr>
            <w:tcW w:w="1134" w:type="dxa"/>
            <w:vAlign w:val="center"/>
          </w:tcPr>
          <w:p>
            <w:pPr>
              <w:pStyle w:val="单元格样式2"/>
            </w:pPr>
            <w:r>
              <w:t xml:space="preserve">C05040300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blPrEx>
          <w:jc w:val="center"/>
          <w:tblLayout w:type="fixed"/>
        </w:tblPrEx>
        <w:trPr>
          <w:jc w:val="center"/>
        </w:trPr>
        <w:tc>
          <w:tcPr>
            <w:tcW w:w="1701" w:type="dxa"/>
            <w:vAlign w:val="center"/>
          </w:tcPr>
          <w:p>
            <w:pPr>
              <w:pStyle w:val="单元格样式2"/>
            </w:pPr>
            <w:r>
              <w:t xml:space="preserve">劳务费</w:t>
            </w:r>
          </w:p>
        </w:tc>
        <w:tc>
          <w:tcPr>
            <w:tcW w:w="964" w:type="dxa"/>
            <w:vAlign w:val="center"/>
          </w:tcPr>
          <w:p>
            <w:pPr>
              <w:pStyle w:val="单元格样式4"/>
            </w:pPr>
            <w:r>
              <w:t xml:space="preserve">109.48</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23.76</w:t>
            </w:r>
          </w:p>
        </w:tc>
        <w:tc>
          <w:tcPr>
            <w:tcW w:w="964" w:type="dxa"/>
            <w:vAlign w:val="center"/>
          </w:tcPr>
          <w:p>
            <w:pPr>
              <w:pStyle w:val="单元格样式4"/>
            </w:pPr>
            <w:r>
              <w:t xml:space="preserve">23.76</w:t>
            </w:r>
          </w:p>
        </w:tc>
        <w:tc>
          <w:tcPr>
            <w:tcW w:w="964" w:type="dxa"/>
            <w:vAlign w:val="center"/>
          </w:tcPr>
          <w:p>
            <w:pPr>
              <w:pStyle w:val="单元格样式4"/>
            </w:pPr>
            <w:r>
              <w:t xml:space="preserve">23.76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23.76</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唐山市路南区人民检察院（含所属单位）上年末固定资产金额为0.00万元（详见下表）。本年度拟购置固定资产总额为0.00万元，已按要求列入政府采购预算，详见政府采购预算表。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308唐山市路南区人民检察院</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33</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2026-02-25T10:01:54Z</dcterms:created>
  <dcterms:modified xsi:type="dcterms:W3CDTF">2026-02-25T10:01:54Z</dcterms:modified>
</cp:coreProperties>
</file>